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BD5D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智慧后勤管理系统维保服务项目（1年）</w:t>
      </w:r>
    </w:p>
    <w:p w14:paraId="4277EB8C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维保要求</w:t>
      </w:r>
    </w:p>
    <w:p w14:paraId="08343F1D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1.1服务可用性</w:t>
      </w:r>
    </w:p>
    <w:p w14:paraId="3D52E329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高可用性保障：运维服务需确保平台在规定的时间内可用，通常要求年停机时间不超过 8 小时，以满足医院后勤业务 24 小时不间断运行的需求。</w:t>
      </w:r>
    </w:p>
    <w:p w14:paraId="5705E09B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故障快速恢复：建立快速有效的故障响应机制，一旦平台出现故障，运维团队应在短时间内响应，如 15 分钟内，并尽快恢复服务，最大限度减少对医院后勤工作的影响。</w:t>
      </w:r>
    </w:p>
    <w:p w14:paraId="2B502192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1.2数据管理</w:t>
      </w:r>
    </w:p>
    <w:p w14:paraId="02961776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数据准确性维护：定期对平台数据进行检查、校验和清理，确保数据的准确性和完整性，如物资库存数据、设备维护记录等，为后勤决策提供可靠依据。</w:t>
      </w:r>
    </w:p>
    <w:p w14:paraId="1CDE1CC9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数据安全保障：采取严格的数据安全措施，包括数据加密、访问控制、备份恢复等，防止数据泄露、篡改和丢失，保护医院的核心信息资产。</w:t>
      </w:r>
    </w:p>
    <w:p w14:paraId="3DC41EAE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数据合规性管理：确保平台数据的管理和使用符合相关法律法规和医院的隐私政策，如患者信息的保护、医疗数据的合规存储和传输等。</w:t>
      </w:r>
    </w:p>
    <w:p w14:paraId="146CC2B1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1.3系统性能优化</w:t>
      </w:r>
    </w:p>
    <w:p w14:paraId="2AEAC587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性能监测与分析：持续监测平台的性能指标，如系统响应时间、资源利用率等，及时发现性能瓶颈，并进行深入分析。</w:t>
      </w:r>
    </w:p>
    <w:p w14:paraId="7ED58FC8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性能优化措施：根据性能分析结果，采取有效的优化措施，如优化数据库查询、调整系统参数、升级硬件设备等，确保平台始终保持良好的性能状态，以满足不断增长的后勤业务数据量和用户访问量的需求。</w:t>
      </w:r>
    </w:p>
    <w:p w14:paraId="22F78277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1.4功能完整性</w:t>
      </w:r>
    </w:p>
    <w:p w14:paraId="6F972A37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功能正常运行：确保平台的各项功能模块，能够正常运行，无功能缺失或异常情况，满足医院后勤综合管理的业务需求。</w:t>
      </w:r>
    </w:p>
    <w:p w14:paraId="4079A98C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1.5安全管理</w:t>
      </w:r>
    </w:p>
    <w:p w14:paraId="49485A77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用户权限管理：严格管理用户权限，根据用户的岗位和职责，合理分配不同级别的权限，确保只有授权用户才能访问和操作相应的功能和数据，防止越权操作和数据滥用。</w:t>
      </w:r>
    </w:p>
    <w:p w14:paraId="450C99EB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安全审计与监控：定期进行安全审计和监控，记录用户的操作行为和系统的安全事件，及时发现并处理潜在的安全威胁和违规行为。</w:t>
      </w:r>
    </w:p>
    <w:p w14:paraId="1312BC80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1.6应急管理</w:t>
      </w:r>
    </w:p>
    <w:p w14:paraId="06CA7A05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应急预案制定：制定完善的应急预案，针对可能出现的各种紧急情况，如系统故障、自然灾害、网络攻击等，明确应急处理流程和责任分工，确保在紧急情况下能够有条不紊地进行应对。</w:t>
      </w:r>
    </w:p>
    <w:p w14:paraId="1AFDDD6A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应急演练与培训：定期组织应急演练，检验应急预案的有效性，提高运维人员和医院后勤相关人员的应急处理能力和协同配合能力，同时对应急预案进行不断优化和完善。</w:t>
      </w:r>
    </w:p>
    <w:p w14:paraId="0068DBB8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维保范围</w:t>
      </w:r>
    </w:p>
    <w:p w14:paraId="7AD29EFE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高州市人民医院</w:t>
      </w:r>
      <w:r>
        <w:rPr>
          <w:rFonts w:hint="eastAsia" w:ascii="华文仿宋" w:hAnsi="华文仿宋" w:eastAsia="华文仿宋" w:cs="华文仿宋"/>
          <w:sz w:val="24"/>
          <w:szCs w:val="24"/>
        </w:rPr>
        <w:t>后勤综合管理平台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系统2024年维保服务</w:t>
      </w:r>
    </w:p>
    <w:tbl>
      <w:tblPr>
        <w:tblStyle w:val="7"/>
        <w:tblpPr w:leftFromText="180" w:rightFromText="180" w:vertAnchor="text" w:horzAnchor="page" w:tblpX="2023" w:tblpY="641"/>
        <w:tblOverlap w:val="never"/>
        <w:tblW w:w="84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638"/>
        <w:gridCol w:w="1835"/>
        <w:gridCol w:w="4004"/>
      </w:tblGrid>
      <w:tr w14:paraId="4B498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4B04C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39748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98D0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C7D7B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说明</w:t>
            </w:r>
          </w:p>
        </w:tc>
      </w:tr>
      <w:tr w14:paraId="2BBA3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4FA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751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基础框架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D4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基础框架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8DF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系统框架管理\系统权限管理</w:t>
            </w:r>
          </w:p>
        </w:tc>
      </w:tr>
      <w:tr w14:paraId="187D6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D19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13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18E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基础档案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01B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医院基础公共知识库，医院数字化建模</w:t>
            </w:r>
          </w:p>
        </w:tc>
      </w:tr>
      <w:tr w14:paraId="07899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CDC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887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FAC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通信插件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59B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短信插件、电话插件</w:t>
            </w:r>
          </w:p>
        </w:tc>
      </w:tr>
      <w:tr w14:paraId="3323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A39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F98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7E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条码插件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AA0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条码及二维码插件，医废等模块用</w:t>
            </w:r>
          </w:p>
        </w:tc>
      </w:tr>
      <w:tr w14:paraId="4B74E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F1B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309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综合维修管理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CF0B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综合维修管理软件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0C07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电话报修、网络报修、集中调度、电脑派工、APP派工、短信提醒</w:t>
            </w:r>
          </w:p>
        </w:tc>
      </w:tr>
      <w:tr w14:paraId="6042C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27A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77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820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51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维修项目知识库、移动APP报表、APP报修等功能</w:t>
            </w:r>
          </w:p>
        </w:tc>
      </w:tr>
      <w:tr w14:paraId="60A47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EAB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77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设备档案及巡检管理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6DC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设备巡检管理软件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47E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后勤设备巡检管理\后勤设备巡检知识库</w:t>
            </w:r>
          </w:p>
        </w:tc>
      </w:tr>
      <w:tr w14:paraId="09345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CD8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7BD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3BB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81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移动APP，日常巡检计划</w:t>
            </w:r>
          </w:p>
        </w:tc>
      </w:tr>
      <w:tr w14:paraId="0A7AA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A2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5DA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B9B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NFC芯片管理软件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E6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巡检功能扩展，改变现场扫描方式</w:t>
            </w:r>
          </w:p>
        </w:tc>
      </w:tr>
      <w:tr w14:paraId="49B2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DE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717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257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设备台账管理软件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DD2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后勤设备管理设备故障管理、设备全生命周期档案</w:t>
            </w:r>
          </w:p>
        </w:tc>
      </w:tr>
      <w:tr w14:paraId="2C88C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22B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3C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医废管理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359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医废管理软件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581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医废的全过程监督管理</w:t>
            </w:r>
          </w:p>
        </w:tc>
      </w:tr>
      <w:tr w14:paraId="57D79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B24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418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安全巡查管理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715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安全巡查管理软件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DB3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计划性任务巡查管理问题隐患\移动APP</w:t>
            </w:r>
          </w:p>
        </w:tc>
      </w:tr>
      <w:tr w14:paraId="573B7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5B4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255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满意度管理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A14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满意度管理软件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F2F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制定满意度测评问卷，并发送临床人员对后勤服务进行打分</w:t>
            </w:r>
          </w:p>
        </w:tc>
      </w:tr>
      <w:tr w14:paraId="0D60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DB8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7A0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BI统计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A09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服务台软件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374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后勤各业务数据综合展示汇总、重点突出问题预警</w:t>
            </w:r>
          </w:p>
        </w:tc>
      </w:tr>
      <w:tr w14:paraId="3A44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5E4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DCD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146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报表管理软件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547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各系统数据的相关报表</w:t>
            </w:r>
          </w:p>
        </w:tc>
      </w:tr>
      <w:tr w14:paraId="2BC98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95E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256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医用气体安全监测及数据通讯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9F9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设备安全监测框架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1B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数据采集、数据校核、WEB展示、通讯传输</w:t>
            </w:r>
          </w:p>
        </w:tc>
      </w:tr>
      <w:tr w14:paraId="3CF8B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8A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F24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智慧用电模块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BE1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智慧用电管理软件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088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实时监测供配电电流、电压、供电质量、温度、刀闸变位、漏电流等供电关键数据</w:t>
            </w:r>
          </w:p>
        </w:tc>
      </w:tr>
    </w:tbl>
    <w:p w14:paraId="6A8A12AA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</w:p>
    <w:p w14:paraId="3F3D2377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</w:rPr>
        <w:t>维保内容</w:t>
      </w:r>
    </w:p>
    <w:p w14:paraId="3073B27C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2.1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系统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故障维护</w:t>
      </w:r>
    </w:p>
    <w:p w14:paraId="74FBC6AA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系统发生故障时，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中标方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按照故障处理流程进行的故障响应处理和故障修复工作，具体包括：</w:t>
      </w:r>
    </w:p>
    <w:p w14:paraId="4757EF3F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电话支持：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  <w:lang w:val="en-US" w:eastAsia="zh-CN"/>
        </w:rPr>
        <w:t>院方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遇到系统故障或技术问题时，可拨打维护服务的报修电话进行技术咨询和故障报修，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  <w:lang w:val="en-US" w:eastAsia="zh-CN"/>
        </w:rPr>
        <w:t>提供7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*8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  <w:lang w:val="en-US" w:eastAsia="zh-CN"/>
        </w:rPr>
        <w:t>*365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</w:rPr>
        <w:t>电话技术支持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highlight w:val="none"/>
          <w:lang w:eastAsia="zh-CN"/>
        </w:rPr>
        <w:t>。</w:t>
      </w:r>
    </w:p>
    <w:p w14:paraId="5041CF54">
      <w:pPr>
        <w:pStyle w:val="9"/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 w:firstLineChars="0"/>
        <w:rPr>
          <w:rFonts w:hint="eastAsia" w:ascii="华文仿宋" w:hAnsi="华文仿宋" w:eastAsia="华文仿宋" w:cs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现场服务：如果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系统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故障问题需要现场服务解决，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需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提供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5*8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现场服务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。</w:t>
      </w:r>
    </w:p>
    <w:p w14:paraId="79AF2065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适应性维护：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因院方现有业务流程的优化，中标方应根据医院现有实际业务需求，对系统进行优化和流程调整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，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以满足现有业务的需求。包含且不限于：系统优化、其他系统数据接口、流程调整等内容，整体系统改动工作量原则上不超过15人/天。</w:t>
      </w:r>
    </w:p>
    <w:p w14:paraId="389FF0B2">
      <w:pPr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Hans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2.2 预防性维护</w:t>
      </w:r>
    </w:p>
    <w:p w14:paraId="7F51042E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中标公司需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每年度安排一次专业运维人员进行定期例行巡检和预防性维护，具体包括：</w:t>
      </w:r>
    </w:p>
    <w:p w14:paraId="3952698F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巡检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例会：根据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的具体的业务需求，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中标方每季度应安排不少于一次的现场巡检，并与院方相关科室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召开例会。例会将采用现场形式，以双方约定的时间进行。在每次例会前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中标方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提交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上季度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的系统运行汇总报告。</w:t>
      </w:r>
    </w:p>
    <w:p w14:paraId="3161D38D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系统推广：根据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院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方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系统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日常使用情况及年度例会问题汇总情况，对系统各模块运行状况进行总结并提出下一步的工作及服务计划，辅助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做好系统推广工作。</w:t>
      </w:r>
    </w:p>
    <w:p w14:paraId="0AFEA0D9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auto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文档汇总：对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院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方系统所有的运行维护、年度例会总结、系统运行汇总报告以电子文档形式，报送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方规定的人员或地点进行存档。</w:t>
      </w:r>
    </w:p>
    <w:p w14:paraId="3626C0DF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</w:rPr>
        <w:t>维护制度及流程</w:t>
      </w:r>
    </w:p>
    <w:p w14:paraId="6AD4AB2A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ab/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系统资产所有权属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院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方，委托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eastAsia="zh-CN"/>
        </w:rPr>
        <w:t>中标方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管理。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eastAsia="zh-CN"/>
        </w:rPr>
        <w:t>中标方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按照甲方有关规定进行管理，并对委托管理的软件的完整性、可用性负责。</w:t>
      </w:r>
    </w:p>
    <w:p w14:paraId="2BFCE94D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ab/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由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eastAsia="zh-CN"/>
        </w:rPr>
        <w:t>中标方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制定系统的运行、维护及抢修相关制度及流程，报甲方相关部门审批。信息系统保养计划需向甲方申请。</w:t>
      </w:r>
    </w:p>
    <w:p w14:paraId="5090DC38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  <w:lang w:eastAsia="zh-CN"/>
        </w:rPr>
        <w:t>中标方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负责合同范围内所含有的正版软件（甲方提供）及应用软件的安装、维护。</w:t>
      </w:r>
    </w:p>
    <w:p w14:paraId="6D2BED56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  <w:lang w:eastAsia="zh-CN"/>
        </w:rPr>
        <w:t>中标方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在为甲方服务的同时,应按照甲方的规定对现场进行清洁,并达到甲方要求。</w:t>
      </w:r>
    </w:p>
    <w:p w14:paraId="1D890A0B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当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Hans"/>
        </w:rPr>
        <w:t>系统运行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遇突发事故时，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eastAsia="zh-CN"/>
        </w:rPr>
        <w:t>中标方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务必于甲方发出通知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u w:val="single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小时内赶到现场，展开维修。</w:t>
      </w:r>
    </w:p>
    <w:p w14:paraId="26627667">
      <w:pPr>
        <w:pageBreakBefore w:val="0"/>
        <w:numPr>
          <w:ilvl w:val="1"/>
          <w:numId w:val="3"/>
        </w:numPr>
        <w:tabs>
          <w:tab w:val="left" w:pos="420"/>
          <w:tab w:val="clear" w:pos="1265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425" w:hanging="425"/>
        <w:rPr>
          <w:rFonts w:hint="eastAsia" w:ascii="华文仿宋" w:hAnsi="华文仿宋" w:eastAsia="华文仿宋" w:cs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完成一年的维保工作后，将一年的维护、保养及维修服务记录装订成册，报送甲方存档。</w:t>
      </w:r>
    </w:p>
    <w:p w14:paraId="231DBD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D2C49"/>
    <w:multiLevelType w:val="singleLevel"/>
    <w:tmpl w:val="CBAD2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0"/>
    <w:multiLevelType w:val="multilevel"/>
    <w:tmpl w:val="00000010"/>
    <w:lvl w:ilvl="0" w:tentative="0">
      <w:start w:val="1"/>
      <w:numFmt w:val="chineseCountingThousand"/>
      <w:lvlText w:val="%1、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274" w:hanging="57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544"/>
        </w:tabs>
        <w:ind w:left="1544" w:hanging="420"/>
      </w:pPr>
    </w:lvl>
    <w:lvl w:ilvl="3" w:tentative="0">
      <w:start w:val="1"/>
      <w:numFmt w:val="decimal"/>
      <w:pStyle w:val="2"/>
      <w:lvlText w:val="%4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384"/>
        </w:tabs>
        <w:ind w:left="23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4"/>
        </w:tabs>
        <w:ind w:left="280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4"/>
        </w:tabs>
        <w:ind w:left="32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4"/>
        </w:tabs>
        <w:ind w:left="36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4"/>
        </w:tabs>
        <w:ind w:left="4064" w:hanging="420"/>
      </w:pPr>
    </w:lvl>
  </w:abstractNum>
  <w:abstractNum w:abstractNumId="2">
    <w:nsid w:val="474F66B6"/>
    <w:multiLevelType w:val="multilevel"/>
    <w:tmpl w:val="474F66B6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bullet"/>
      <w:lvlText w:val="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TE3OTFlMDBhZTY2NGJjYTRiMzU3OTExNzg1ZjIifQ=="/>
  </w:docVars>
  <w:rsids>
    <w:rsidRoot w:val="265D1B58"/>
    <w:rsid w:val="1E6C0B3B"/>
    <w:rsid w:val="265D1B58"/>
    <w:rsid w:val="29934C9D"/>
    <w:rsid w:val="41A92AC6"/>
    <w:rsid w:val="4C723225"/>
    <w:rsid w:val="628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440"/>
        <w:tab w:val="clear" w:pos="420"/>
      </w:tabs>
      <w:adjustRightInd w:val="0"/>
      <w:spacing w:line="360" w:lineRule="auto"/>
      <w:textAlignment w:val="baseline"/>
      <w:outlineLvl w:val="3"/>
    </w:pPr>
    <w:rPr>
      <w:rFonts w:cs="仿宋_GB2312"/>
      <w:b/>
      <w:bCs/>
      <w:kern w:val="2"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line="360" w:lineRule="auto"/>
    </w:pPr>
    <w:rPr>
      <w:rFonts w:ascii="仿宋体" w:hAnsi="Times New Roman" w:eastAsia="仿宋体" w:cs="Times New Roman"/>
      <w:kern w:val="2"/>
      <w:sz w:val="28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5">
    <w:name w:val="toc 6"/>
    <w:basedOn w:val="1"/>
    <w:next w:val="1"/>
    <w:semiHidden/>
    <w:qFormat/>
    <w:uiPriority w:val="0"/>
    <w:pPr>
      <w:ind w:left="1050"/>
      <w:jc w:val="left"/>
    </w:pPr>
  </w:style>
  <w:style w:type="paragraph" w:styleId="6">
    <w:name w:val="Body Text First Indent"/>
    <w:basedOn w:val="3"/>
    <w:next w:val="5"/>
    <w:qFormat/>
    <w:uiPriority w:val="0"/>
    <w:pPr>
      <w:spacing w:after="120" w:afterLines="0"/>
      <w:ind w:firstLine="420" w:firstLineChars="100"/>
      <w:jc w:val="both"/>
    </w:p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1300</Words>
  <Characters>1336</Characters>
  <Lines>0</Lines>
  <Paragraphs>0</Paragraphs>
  <TotalTime>22</TotalTime>
  <ScaleCrop>false</ScaleCrop>
  <LinksUpToDate>false</LinksUpToDate>
  <CharactersWithSpaces>1343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2024-05-20T08:14:00Z</dcterms:created>
  <dc:creator>文亮</dc:creator>
  <cp:lastModifiedBy>吾心首行</cp:lastModifiedBy>
  <dcterms:modified xsi:type="dcterms:W3CDTF">2025-06-18T01:17:05Z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80F9F453C2254770AD1E00600EAA2B8C_13</vt:lpwstr>
  </property>
  <property fmtid="{D5CDD505-2E9C-101B-9397-08002B2CF9AE}" pid="4" name="KSOTemplateDocerSaveRecord">
    <vt:lpwstr>eyJoZGlkIjoiMTBiNTE3OTFlMDBhZTY2NGJjYTRiMzU3OTExNzg1ZjIiLCJ1c2VySWQiOiIzMTIwODQ5MTkifQ==</vt:lpwstr>
  </property>
</Properties>
</file>