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58386EB">
      <w:pPr>
        <w:spacing w:line="360" w:lineRule="auto"/>
        <w:jc w:val="center"/>
        <w:rPr>
          <w:rFonts w:hint="eastAsia" w:ascii="宋体" w:hAnsi="宋体" w:eastAsia="宋体"/>
          <w:b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/>
          <w:b/>
          <w:color w:val="auto"/>
          <w:sz w:val="28"/>
          <w:szCs w:val="28"/>
          <w:highlight w:val="none"/>
          <w:lang w:eastAsia="zh-CN"/>
        </w:rPr>
        <w:t>病媒生物防制服务需求</w:t>
      </w:r>
    </w:p>
    <w:p w14:paraId="43F5EDCC">
      <w:pPr>
        <w:spacing w:line="360" w:lineRule="auto"/>
        <w:rPr>
          <w:rFonts w:hint="eastAsia" w:ascii="宋体" w:hAnsi="宋体"/>
          <w:b/>
          <w:color w:val="auto"/>
          <w:sz w:val="28"/>
          <w:szCs w:val="28"/>
          <w:highlight w:val="none"/>
        </w:rPr>
      </w:pPr>
      <w:r>
        <w:rPr>
          <w:rFonts w:hint="eastAsia" w:ascii="宋体" w:hAnsi="宋体"/>
          <w:b/>
          <w:color w:val="auto"/>
          <w:sz w:val="28"/>
          <w:szCs w:val="28"/>
          <w:highlight w:val="none"/>
        </w:rPr>
        <w:t>一、项目采购需求</w:t>
      </w:r>
    </w:p>
    <w:p w14:paraId="5A189BA8">
      <w:pPr>
        <w:spacing w:line="360" w:lineRule="auto"/>
        <w:rPr>
          <w:rFonts w:hint="eastAsia" w:ascii="宋体" w:hAnsi="宋体" w:eastAsia="宋体"/>
          <w:b/>
          <w:color w:val="auto"/>
          <w:sz w:val="28"/>
          <w:szCs w:val="28"/>
          <w:highlight w:val="none"/>
          <w:lang w:eastAsia="zh-CN"/>
        </w:rPr>
      </w:pPr>
      <w:r>
        <w:rPr>
          <w:rFonts w:hint="eastAsia" w:ascii="宋体" w:hAnsi="宋体"/>
          <w:b/>
          <w:color w:val="auto"/>
          <w:sz w:val="28"/>
          <w:szCs w:val="28"/>
          <w:highlight w:val="none"/>
        </w:rPr>
        <w:t>（一）项目</w:t>
      </w:r>
      <w:r>
        <w:rPr>
          <w:rFonts w:hint="eastAsia" w:ascii="宋体" w:hAnsi="宋体"/>
          <w:b/>
          <w:color w:val="auto"/>
          <w:sz w:val="28"/>
          <w:szCs w:val="28"/>
          <w:highlight w:val="none"/>
          <w:lang w:eastAsia="zh-CN"/>
        </w:rPr>
        <w:t>一览表</w:t>
      </w:r>
    </w:p>
    <w:tbl>
      <w:tblPr>
        <w:tblStyle w:val="5"/>
        <w:tblW w:w="9779" w:type="dxa"/>
        <w:jc w:val="center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07"/>
        <w:gridCol w:w="4330"/>
        <w:gridCol w:w="1017"/>
        <w:gridCol w:w="1766"/>
        <w:gridCol w:w="1859"/>
      </w:tblGrid>
      <w:tr w14:paraId="063B3FF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5" w:hRule="atLeast"/>
          <w:tblHeader/>
          <w:jc w:val="center"/>
        </w:trPr>
        <w:tc>
          <w:tcPr>
            <w:tcW w:w="807" w:type="dxa"/>
            <w:tcBorders>
              <w:tl2br w:val="nil"/>
              <w:tr2bl w:val="nil"/>
            </w:tcBorders>
            <w:noWrap w:val="0"/>
            <w:vAlign w:val="center"/>
          </w:tcPr>
          <w:p w14:paraId="48068D8C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cs="Times New Roman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sz w:val="24"/>
                <w:highlight w:val="none"/>
              </w:rPr>
              <w:t>序号</w:t>
            </w:r>
          </w:p>
        </w:tc>
        <w:tc>
          <w:tcPr>
            <w:tcW w:w="4330" w:type="dxa"/>
            <w:tcBorders>
              <w:tl2br w:val="nil"/>
              <w:tr2bl w:val="nil"/>
            </w:tcBorders>
            <w:noWrap w:val="0"/>
            <w:vAlign w:val="center"/>
          </w:tcPr>
          <w:p w14:paraId="093409FA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Times New Roman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sz w:val="24"/>
                <w:highlight w:val="none"/>
              </w:rPr>
              <w:t>项目内容</w:t>
            </w:r>
          </w:p>
        </w:tc>
        <w:tc>
          <w:tcPr>
            <w:tcW w:w="1017" w:type="dxa"/>
            <w:tcBorders>
              <w:tl2br w:val="nil"/>
              <w:tr2bl w:val="nil"/>
            </w:tcBorders>
            <w:noWrap w:val="0"/>
            <w:vAlign w:val="center"/>
          </w:tcPr>
          <w:p w14:paraId="540D5F61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Times New Roman"/>
                <w:b/>
                <w:bCs/>
                <w:color w:val="auto"/>
                <w:sz w:val="24"/>
                <w:highlight w:val="none"/>
                <w:lang w:eastAsia="zh-CN"/>
              </w:rPr>
              <w:t>数量</w:t>
            </w:r>
          </w:p>
        </w:tc>
        <w:tc>
          <w:tcPr>
            <w:tcW w:w="1766" w:type="dxa"/>
            <w:tcBorders>
              <w:tl2br w:val="nil"/>
              <w:tr2bl w:val="nil"/>
            </w:tcBorders>
            <w:noWrap w:val="0"/>
            <w:vAlign w:val="center"/>
          </w:tcPr>
          <w:p w14:paraId="35B63C6B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Times New Roman"/>
                <w:b/>
                <w:color w:val="auto"/>
                <w:sz w:val="24"/>
                <w:highlight w:val="none"/>
              </w:rPr>
              <w:t>预算</w:t>
            </w:r>
            <w:r>
              <w:rPr>
                <w:rFonts w:hint="default"/>
                <w:b/>
                <w:bCs/>
                <w:color w:val="auto"/>
                <w:highlight w:val="none"/>
              </w:rPr>
              <w:t>（元）</w:t>
            </w:r>
          </w:p>
        </w:tc>
        <w:tc>
          <w:tcPr>
            <w:tcW w:w="1859" w:type="dxa"/>
            <w:tcBorders>
              <w:tl2br w:val="nil"/>
              <w:tr2bl w:val="nil"/>
            </w:tcBorders>
            <w:noWrap w:val="0"/>
            <w:vAlign w:val="center"/>
          </w:tcPr>
          <w:p w14:paraId="1F37BF30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Times New Roman"/>
                <w:b/>
                <w:bCs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Times New Roman"/>
                <w:b/>
                <w:color w:val="auto"/>
                <w:sz w:val="24"/>
                <w:highlight w:val="none"/>
                <w:lang w:eastAsia="zh-CN"/>
              </w:rPr>
              <w:t>最高限价</w:t>
            </w:r>
            <w:r>
              <w:rPr>
                <w:rFonts w:hint="default"/>
                <w:b/>
                <w:bCs/>
                <w:color w:val="auto"/>
                <w:highlight w:val="none"/>
              </w:rPr>
              <w:t>（元）</w:t>
            </w:r>
          </w:p>
        </w:tc>
      </w:tr>
      <w:tr w14:paraId="4409C423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  <w:jc w:val="center"/>
        </w:trPr>
        <w:tc>
          <w:tcPr>
            <w:tcW w:w="807" w:type="dxa"/>
            <w:tcBorders>
              <w:tl2br w:val="nil"/>
              <w:tr2bl w:val="nil"/>
            </w:tcBorders>
            <w:noWrap w:val="0"/>
            <w:vAlign w:val="center"/>
          </w:tcPr>
          <w:p w14:paraId="3F21BD56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Times New Roman"/>
                <w:b/>
                <w:color w:val="auto"/>
                <w:sz w:val="24"/>
                <w:highlight w:val="none"/>
              </w:rPr>
              <w:t>1</w:t>
            </w:r>
          </w:p>
        </w:tc>
        <w:tc>
          <w:tcPr>
            <w:tcW w:w="4330" w:type="dxa"/>
            <w:tcBorders>
              <w:tl2br w:val="nil"/>
              <w:tr2bl w:val="nil"/>
            </w:tcBorders>
            <w:noWrap w:val="0"/>
            <w:vAlign w:val="center"/>
          </w:tcPr>
          <w:p w14:paraId="0F526E1A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rPr>
                <w:rFonts w:hint="eastAsia" w:ascii="宋体" w:hAnsi="宋体" w:eastAsia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  <w:lang w:eastAsia="zh-CN"/>
              </w:rPr>
              <w:t>病媒生物防制服务</w:t>
            </w:r>
          </w:p>
        </w:tc>
        <w:tc>
          <w:tcPr>
            <w:tcW w:w="1017" w:type="dxa"/>
            <w:tcBorders>
              <w:tl2br w:val="nil"/>
              <w:tr2bl w:val="nil"/>
            </w:tcBorders>
            <w:noWrap w:val="0"/>
            <w:vAlign w:val="center"/>
          </w:tcPr>
          <w:p w14:paraId="42BBAF22">
            <w:pPr>
              <w:pStyle w:val="8"/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 w:firstLine="0" w:firstLineChars="0"/>
              <w:jc w:val="center"/>
              <w:rPr>
                <w:rFonts w:hint="default" w:ascii="宋体" w:hAnsi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color w:val="auto"/>
                <w:sz w:val="24"/>
                <w:szCs w:val="24"/>
                <w:highlight w:val="none"/>
                <w:lang w:val="en-US" w:eastAsia="zh-CN"/>
              </w:rPr>
              <w:t>1项</w:t>
            </w:r>
          </w:p>
        </w:tc>
        <w:tc>
          <w:tcPr>
            <w:tcW w:w="1766" w:type="dxa"/>
            <w:tcBorders>
              <w:tl2br w:val="nil"/>
              <w:tr2bl w:val="nil"/>
            </w:tcBorders>
            <w:noWrap w:val="0"/>
            <w:vAlign w:val="center"/>
          </w:tcPr>
          <w:p w14:paraId="5C5E2F2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Calibri" w:hAnsi="宋体" w:cs="宋体"/>
                <w:b/>
                <w:bCs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Times New Roman"/>
                <w:b/>
                <w:color w:val="auto"/>
                <w:sz w:val="24"/>
                <w:highlight w:val="none"/>
              </w:rPr>
              <w:t>¥</w:t>
            </w:r>
            <w:r>
              <w:rPr>
                <w:rFonts w:hint="eastAsia" w:ascii="宋体" w:hAnsi="宋体" w:cs="Times New Roman"/>
                <w:b/>
                <w:color w:val="auto"/>
                <w:sz w:val="24"/>
                <w:highlight w:val="none"/>
                <w:lang w:val="en-US" w:eastAsia="zh-CN"/>
              </w:rPr>
              <w:t>260</w:t>
            </w:r>
            <w:r>
              <w:rPr>
                <w:rFonts w:hint="eastAsia" w:ascii="宋体" w:hAnsi="宋体" w:cs="Times New Roman"/>
                <w:b/>
                <w:color w:val="auto"/>
                <w:sz w:val="24"/>
                <w:highlight w:val="none"/>
              </w:rPr>
              <w:t>,000.00</w:t>
            </w:r>
          </w:p>
        </w:tc>
        <w:tc>
          <w:tcPr>
            <w:tcW w:w="1859" w:type="dxa"/>
            <w:tcBorders>
              <w:tl2br w:val="nil"/>
              <w:tr2bl w:val="nil"/>
            </w:tcBorders>
            <w:noWrap w:val="0"/>
            <w:vAlign w:val="center"/>
          </w:tcPr>
          <w:p w14:paraId="5D062EE8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default" w:ascii="宋体" w:hAnsi="宋体" w:cs="Times New Roman"/>
                <w:color w:val="auto"/>
                <w:highlight w:val="none"/>
              </w:rPr>
            </w:pPr>
            <w:r>
              <w:rPr>
                <w:rFonts w:hint="eastAsia" w:ascii="宋体" w:hAnsi="宋体" w:cs="Times New Roman"/>
                <w:b/>
                <w:color w:val="auto"/>
                <w:sz w:val="24"/>
                <w:highlight w:val="none"/>
              </w:rPr>
              <w:t>¥</w:t>
            </w:r>
            <w:r>
              <w:rPr>
                <w:rFonts w:hint="eastAsia" w:ascii="宋体" w:hAnsi="宋体" w:cs="Times New Roman"/>
                <w:b/>
                <w:color w:val="auto"/>
                <w:sz w:val="24"/>
                <w:highlight w:val="none"/>
                <w:lang w:val="en-US" w:eastAsia="zh-CN"/>
              </w:rPr>
              <w:t>260,00</w:t>
            </w:r>
            <w:r>
              <w:rPr>
                <w:rFonts w:hint="eastAsia" w:ascii="宋体" w:hAnsi="宋体" w:cs="Times New Roman"/>
                <w:b/>
                <w:color w:val="auto"/>
                <w:sz w:val="24"/>
                <w:highlight w:val="none"/>
              </w:rPr>
              <w:t>0</w:t>
            </w:r>
            <w:r>
              <w:rPr>
                <w:rFonts w:hint="eastAsia" w:ascii="宋体" w:hAnsi="宋体" w:cs="Times New Roman"/>
                <w:b/>
                <w:color w:val="auto"/>
                <w:sz w:val="24"/>
                <w:highlight w:val="none"/>
                <w:lang w:val="en-US" w:eastAsia="zh-CN"/>
              </w:rPr>
              <w:t>.00</w:t>
            </w:r>
          </w:p>
        </w:tc>
      </w:tr>
      <w:tr w14:paraId="73D0C854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14" w:hRule="atLeast"/>
          <w:jc w:val="center"/>
        </w:trPr>
        <w:tc>
          <w:tcPr>
            <w:tcW w:w="807" w:type="dxa"/>
            <w:tcBorders>
              <w:tl2br w:val="nil"/>
              <w:tr2bl w:val="nil"/>
            </w:tcBorders>
            <w:noWrap w:val="0"/>
            <w:vAlign w:val="center"/>
          </w:tcPr>
          <w:p w14:paraId="40658AEF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Times New Roman"/>
                <w:b/>
                <w:color w:val="auto"/>
                <w:sz w:val="24"/>
                <w:highlight w:val="none"/>
              </w:rPr>
              <w:t>A</w:t>
            </w:r>
          </w:p>
        </w:tc>
        <w:tc>
          <w:tcPr>
            <w:tcW w:w="8972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79561E47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="宋体" w:hAnsi="宋体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Times New Roman"/>
                <w:b/>
                <w:color w:val="auto"/>
                <w:sz w:val="24"/>
                <w:highlight w:val="none"/>
              </w:rPr>
              <w:t>项目实施地点：</w:t>
            </w:r>
            <w:bookmarkStart w:id="0" w:name="OLE_LINK3"/>
            <w:r>
              <w:rPr>
                <w:rFonts w:hint="eastAsia" w:ascii="宋体" w:hAnsi="宋体" w:cs="Times New Roman"/>
                <w:b/>
                <w:color w:val="auto"/>
                <w:sz w:val="24"/>
                <w:highlight w:val="none"/>
              </w:rPr>
              <w:t>高州市人民医院内指定地点</w:t>
            </w:r>
            <w:bookmarkEnd w:id="0"/>
          </w:p>
        </w:tc>
      </w:tr>
      <w:tr w14:paraId="4418B4FA"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36" w:hRule="atLeast"/>
          <w:jc w:val="center"/>
        </w:trPr>
        <w:tc>
          <w:tcPr>
            <w:tcW w:w="807" w:type="dxa"/>
            <w:tcBorders>
              <w:tl2br w:val="nil"/>
              <w:tr2bl w:val="nil"/>
            </w:tcBorders>
            <w:noWrap w:val="0"/>
            <w:vAlign w:val="center"/>
          </w:tcPr>
          <w:p w14:paraId="6E3F43F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leftChars="0" w:right="0" w:rightChars="0"/>
              <w:jc w:val="center"/>
              <w:rPr>
                <w:rFonts w:hint="eastAsia" w:ascii="宋体" w:hAnsi="宋体" w:cs="Times New Roman"/>
                <w:b/>
                <w:color w:val="auto"/>
                <w:sz w:val="24"/>
                <w:highlight w:val="none"/>
              </w:rPr>
            </w:pPr>
            <w:r>
              <w:rPr>
                <w:rFonts w:hint="eastAsia" w:ascii="宋体" w:hAnsi="宋体" w:cs="Times New Roman"/>
                <w:b/>
                <w:color w:val="auto"/>
                <w:sz w:val="24"/>
                <w:highlight w:val="none"/>
              </w:rPr>
              <w:t>B</w:t>
            </w:r>
          </w:p>
        </w:tc>
        <w:tc>
          <w:tcPr>
            <w:tcW w:w="8972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 w14:paraId="537D448D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rPr>
                <w:rFonts w:hint="eastAsia" w:ascii="宋体" w:hAnsi="宋体" w:eastAsia="宋体" w:cs="Times New Roman"/>
                <w:b/>
                <w:color w:val="auto"/>
                <w:sz w:val="24"/>
                <w:highlight w:val="none"/>
                <w:lang w:eastAsia="zh-CN"/>
              </w:rPr>
            </w:pPr>
            <w:r>
              <w:rPr>
                <w:rFonts w:hint="eastAsia" w:ascii="宋体" w:hAnsi="宋体" w:cs="Times New Roman"/>
                <w:b/>
                <w:color w:val="auto"/>
                <w:sz w:val="24"/>
                <w:highlight w:val="none"/>
                <w:lang w:eastAsia="zh-CN"/>
              </w:rPr>
              <w:t>期限：</w:t>
            </w:r>
            <w:bookmarkStart w:id="1" w:name="OLE_LINK2"/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合同生效之日起</w:t>
            </w:r>
            <w:r>
              <w:rPr>
                <w:rFonts w:hint="eastAsia" w:ascii="宋体" w:hAnsi="宋体" w:cs="宋体"/>
                <w:b/>
                <w:bCs/>
                <w:sz w:val="24"/>
                <w:szCs w:val="24"/>
                <w:lang w:val="en-US" w:eastAsia="zh-CN"/>
              </w:rPr>
              <w:t>2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</w:rPr>
              <w:t>年</w:t>
            </w:r>
            <w:r>
              <w:rPr>
                <w:rFonts w:hint="eastAsia" w:ascii="宋体" w:hAnsi="宋体" w:eastAsia="宋体" w:cs="宋体"/>
                <w:b/>
                <w:bCs/>
                <w:sz w:val="24"/>
                <w:szCs w:val="24"/>
                <w:lang w:eastAsia="zh-CN"/>
              </w:rPr>
              <w:t>。</w:t>
            </w:r>
            <w:bookmarkEnd w:id="1"/>
          </w:p>
        </w:tc>
      </w:tr>
    </w:tbl>
    <w:p w14:paraId="584ABF79">
      <w:pPr>
        <w:adjustRightInd w:val="0"/>
        <w:snapToGrid w:val="0"/>
        <w:spacing w:line="360" w:lineRule="auto"/>
        <w:rPr>
          <w:rFonts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1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.</w:t>
      </w:r>
      <w:r>
        <w:rPr>
          <w:rFonts w:hint="eastAsia" w:ascii="宋体" w:hAnsi="宋体"/>
          <w:color w:val="auto"/>
          <w:sz w:val="24"/>
          <w:highlight w:val="none"/>
        </w:rPr>
        <w:t>本项目为一个整体，投标人必须对本项目整体进行投标，不能只对其中部分内容进行投标。</w:t>
      </w:r>
    </w:p>
    <w:p w14:paraId="46F64636">
      <w:pPr>
        <w:adjustRightInd w:val="0"/>
        <w:snapToGrid w:val="0"/>
        <w:spacing w:line="360" w:lineRule="auto"/>
        <w:rPr>
          <w:rFonts w:hint="eastAsia" w:ascii="宋体" w:hAnsi="宋体" w:cs="Times New Roman"/>
          <w:color w:val="auto"/>
          <w:sz w:val="24"/>
          <w:highlight w:val="none"/>
        </w:rPr>
      </w:pPr>
      <w:r>
        <w:rPr>
          <w:rFonts w:hint="eastAsia" w:ascii="宋体" w:hAnsi="宋体"/>
          <w:color w:val="auto"/>
          <w:sz w:val="24"/>
          <w:highlight w:val="none"/>
        </w:rPr>
        <w:t>2</w:t>
      </w:r>
      <w:r>
        <w:rPr>
          <w:rFonts w:hint="eastAsia" w:ascii="宋体" w:hAnsi="宋体"/>
          <w:color w:val="auto"/>
          <w:sz w:val="24"/>
          <w:highlight w:val="none"/>
          <w:lang w:val="en-US" w:eastAsia="zh-CN"/>
        </w:rPr>
        <w:t>.</w:t>
      </w:r>
      <w:r>
        <w:rPr>
          <w:rFonts w:hint="eastAsia" w:ascii="宋体" w:hAnsi="宋体"/>
          <w:color w:val="auto"/>
          <w:sz w:val="24"/>
          <w:highlight w:val="none"/>
        </w:rPr>
        <w:t>采购文件中凡标有“★”的地方均为必须完全满足条款，投标人要特别加以注意，必须完全满足或优于这些要求，若有一项带“★”的指标要求未响应或不满足，将按投标无效处理。如标有“▲”的条款均为评审的重要评分指标，投标人若有部分“▲”条款未响应或不满足，</w:t>
      </w:r>
      <w:r>
        <w:rPr>
          <w:rFonts w:hint="eastAsia" w:ascii="宋体" w:hAnsi="宋体" w:cs="Times New Roman"/>
          <w:color w:val="auto"/>
          <w:sz w:val="24"/>
          <w:highlight w:val="none"/>
        </w:rPr>
        <w:t>将影响技术部分的评分。</w:t>
      </w:r>
    </w:p>
    <w:p w14:paraId="2AD72382">
      <w:pPr>
        <w:adjustRightInd w:val="0"/>
        <w:snapToGrid w:val="0"/>
        <w:spacing w:line="360" w:lineRule="auto"/>
        <w:rPr>
          <w:rFonts w:hint="eastAsia" w:ascii="宋体" w:hAnsi="宋体" w:cs="Times New Roman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Times New Roman"/>
          <w:color w:val="auto"/>
          <w:sz w:val="24"/>
          <w:highlight w:val="none"/>
        </w:rPr>
        <w:t>★</w:t>
      </w:r>
      <w:r>
        <w:rPr>
          <w:rFonts w:hint="eastAsia" w:ascii="宋体" w:hAnsi="宋体" w:cs="Times New Roman"/>
          <w:color w:val="auto"/>
          <w:sz w:val="24"/>
          <w:highlight w:val="none"/>
          <w:lang w:val="en-US" w:eastAsia="zh-CN"/>
        </w:rPr>
        <w:t>3.本项目设最高限价，投标报价不得超过最高限价，否则视为无效投标。</w:t>
      </w:r>
    </w:p>
    <w:p w14:paraId="08DA09FA">
      <w:pPr>
        <w:adjustRightInd w:val="0"/>
        <w:snapToGrid w:val="0"/>
        <w:spacing w:line="360" w:lineRule="auto"/>
        <w:rPr>
          <w:rFonts w:hint="default" w:ascii="宋体" w:hAnsi="宋体" w:cs="Times New Roman"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 w:cs="Times New Roman"/>
          <w:color w:val="auto"/>
          <w:sz w:val="24"/>
          <w:highlight w:val="none"/>
          <w:lang w:val="en-US" w:eastAsia="zh-CN"/>
        </w:rPr>
        <w:t>4.本项目所属行业：服务业。</w:t>
      </w:r>
      <w:bookmarkStart w:id="3" w:name="_GoBack"/>
      <w:bookmarkEnd w:id="3"/>
    </w:p>
    <w:p w14:paraId="53650656">
      <w:pPr>
        <w:rPr>
          <w:rFonts w:ascii="宋体" w:hAnsi="宋体"/>
          <w:b/>
          <w:color w:val="auto"/>
          <w:sz w:val="24"/>
          <w:highlight w:val="none"/>
        </w:rPr>
      </w:pP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</w:rPr>
        <w:t>（</w:t>
      </w: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eastAsia="zh-CN"/>
        </w:rPr>
        <w:t>二</w:t>
      </w: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</w:rPr>
        <w:t>）</w:t>
      </w: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  <w:lang w:eastAsia="zh-CN"/>
        </w:rPr>
        <w:t>采购需求</w:t>
      </w:r>
    </w:p>
    <w:p w14:paraId="661E843F">
      <w:pP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、消杀范围</w:t>
      </w:r>
    </w:p>
    <w:tbl>
      <w:tblPr>
        <w:tblStyle w:val="5"/>
        <w:tblW w:w="9791" w:type="dxa"/>
        <w:tblInd w:w="3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5"/>
        <w:gridCol w:w="2595"/>
        <w:gridCol w:w="1920"/>
        <w:gridCol w:w="1890"/>
        <w:gridCol w:w="2681"/>
      </w:tblGrid>
      <w:tr w14:paraId="355D8D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45" w:hRule="atLeast"/>
        </w:trPr>
        <w:tc>
          <w:tcPr>
            <w:tcW w:w="705" w:type="dxa"/>
            <w:noWrap w:val="0"/>
            <w:vAlign w:val="center"/>
          </w:tcPr>
          <w:p w14:paraId="2918571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序号</w:t>
            </w:r>
          </w:p>
        </w:tc>
        <w:tc>
          <w:tcPr>
            <w:tcW w:w="2595" w:type="dxa"/>
            <w:noWrap w:val="0"/>
            <w:vAlign w:val="center"/>
          </w:tcPr>
          <w:p w14:paraId="7FD2455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330" w:leftChars="100" w:right="0" w:hanging="120" w:hangingChars="5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建筑物名称</w:t>
            </w:r>
          </w:p>
        </w:tc>
        <w:tc>
          <w:tcPr>
            <w:tcW w:w="1920" w:type="dxa"/>
            <w:noWrap w:val="0"/>
            <w:vAlign w:val="center"/>
          </w:tcPr>
          <w:p w14:paraId="60A2C99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建筑占地面积</w:t>
            </w:r>
          </w:p>
          <w:p w14:paraId="54C7FBA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（平方米）</w:t>
            </w:r>
          </w:p>
        </w:tc>
        <w:tc>
          <w:tcPr>
            <w:tcW w:w="1890" w:type="dxa"/>
            <w:noWrap w:val="0"/>
            <w:vAlign w:val="center"/>
          </w:tcPr>
          <w:p w14:paraId="4CB939F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建筑面积</w:t>
            </w:r>
          </w:p>
          <w:p w14:paraId="2BDB505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(平方米)</w:t>
            </w:r>
          </w:p>
        </w:tc>
        <w:tc>
          <w:tcPr>
            <w:tcW w:w="2681" w:type="dxa"/>
            <w:noWrap w:val="0"/>
            <w:vAlign w:val="center"/>
          </w:tcPr>
          <w:p w14:paraId="5F7510B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层数</w:t>
            </w:r>
          </w:p>
        </w:tc>
      </w:tr>
      <w:tr w14:paraId="685EC7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6" w:hRule="atLeast"/>
        </w:trPr>
        <w:tc>
          <w:tcPr>
            <w:tcW w:w="705" w:type="dxa"/>
            <w:noWrap w:val="0"/>
            <w:vAlign w:val="center"/>
          </w:tcPr>
          <w:p w14:paraId="60A8332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</w:t>
            </w:r>
          </w:p>
        </w:tc>
        <w:tc>
          <w:tcPr>
            <w:tcW w:w="2595" w:type="dxa"/>
            <w:noWrap w:val="0"/>
            <w:vAlign w:val="center"/>
          </w:tcPr>
          <w:p w14:paraId="23923D7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1、5号楼</w:t>
            </w:r>
          </w:p>
        </w:tc>
        <w:tc>
          <w:tcPr>
            <w:tcW w:w="1920" w:type="dxa"/>
            <w:noWrap w:val="0"/>
            <w:vAlign w:val="center"/>
          </w:tcPr>
          <w:p w14:paraId="095B398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2840</w:t>
            </w:r>
          </w:p>
        </w:tc>
        <w:tc>
          <w:tcPr>
            <w:tcW w:w="1890" w:type="dxa"/>
            <w:noWrap w:val="0"/>
            <w:vAlign w:val="center"/>
          </w:tcPr>
          <w:p w14:paraId="62B639F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40016</w:t>
            </w:r>
          </w:p>
        </w:tc>
        <w:tc>
          <w:tcPr>
            <w:tcW w:w="2681" w:type="dxa"/>
            <w:noWrap w:val="0"/>
            <w:vAlign w:val="center"/>
          </w:tcPr>
          <w:p w14:paraId="6C33B0B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19</w:t>
            </w:r>
          </w:p>
        </w:tc>
      </w:tr>
      <w:tr w14:paraId="590732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22" w:hRule="atLeast"/>
        </w:trPr>
        <w:tc>
          <w:tcPr>
            <w:tcW w:w="705" w:type="dxa"/>
            <w:noWrap w:val="0"/>
            <w:vAlign w:val="center"/>
          </w:tcPr>
          <w:p w14:paraId="15ADF56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</w:t>
            </w:r>
          </w:p>
        </w:tc>
        <w:tc>
          <w:tcPr>
            <w:tcW w:w="2595" w:type="dxa"/>
            <w:noWrap w:val="0"/>
            <w:vAlign w:val="center"/>
          </w:tcPr>
          <w:p w14:paraId="1CB402E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2号楼</w:t>
            </w:r>
          </w:p>
        </w:tc>
        <w:tc>
          <w:tcPr>
            <w:tcW w:w="1920" w:type="dxa"/>
            <w:noWrap w:val="0"/>
            <w:vAlign w:val="center"/>
          </w:tcPr>
          <w:p w14:paraId="36B1076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1547</w:t>
            </w:r>
          </w:p>
        </w:tc>
        <w:tc>
          <w:tcPr>
            <w:tcW w:w="1890" w:type="dxa"/>
            <w:noWrap w:val="0"/>
            <w:vAlign w:val="center"/>
          </w:tcPr>
          <w:p w14:paraId="70B9843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37254.4</w:t>
            </w:r>
          </w:p>
        </w:tc>
        <w:tc>
          <w:tcPr>
            <w:tcW w:w="2681" w:type="dxa"/>
            <w:noWrap w:val="0"/>
            <w:vAlign w:val="center"/>
          </w:tcPr>
          <w:p w14:paraId="14CDC0E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17</w:t>
            </w:r>
          </w:p>
        </w:tc>
      </w:tr>
      <w:tr w14:paraId="568084B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4" w:hRule="atLeast"/>
        </w:trPr>
        <w:tc>
          <w:tcPr>
            <w:tcW w:w="705" w:type="dxa"/>
            <w:noWrap w:val="0"/>
            <w:vAlign w:val="center"/>
          </w:tcPr>
          <w:p w14:paraId="71BB3D0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  <w:tc>
          <w:tcPr>
            <w:tcW w:w="2595" w:type="dxa"/>
            <w:noWrap w:val="0"/>
            <w:vAlign w:val="center"/>
          </w:tcPr>
          <w:p w14:paraId="578AF35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3号楼</w:t>
            </w:r>
          </w:p>
        </w:tc>
        <w:tc>
          <w:tcPr>
            <w:tcW w:w="1920" w:type="dxa"/>
            <w:noWrap w:val="0"/>
            <w:vAlign w:val="center"/>
          </w:tcPr>
          <w:p w14:paraId="3E8CEE8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2750</w:t>
            </w:r>
          </w:p>
        </w:tc>
        <w:tc>
          <w:tcPr>
            <w:tcW w:w="1890" w:type="dxa"/>
            <w:noWrap w:val="0"/>
            <w:vAlign w:val="center"/>
          </w:tcPr>
          <w:p w14:paraId="4E6492A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55000</w:t>
            </w:r>
          </w:p>
        </w:tc>
        <w:tc>
          <w:tcPr>
            <w:tcW w:w="2681" w:type="dxa"/>
            <w:noWrap w:val="0"/>
            <w:vAlign w:val="center"/>
          </w:tcPr>
          <w:p w14:paraId="4C19619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19</w:t>
            </w:r>
          </w:p>
        </w:tc>
      </w:tr>
      <w:tr w14:paraId="5941AC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18" w:hRule="atLeast"/>
        </w:trPr>
        <w:tc>
          <w:tcPr>
            <w:tcW w:w="705" w:type="dxa"/>
            <w:noWrap w:val="0"/>
            <w:vAlign w:val="center"/>
          </w:tcPr>
          <w:p w14:paraId="56B3A9F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</w:t>
            </w:r>
          </w:p>
        </w:tc>
        <w:tc>
          <w:tcPr>
            <w:tcW w:w="2595" w:type="dxa"/>
            <w:noWrap w:val="0"/>
            <w:vAlign w:val="center"/>
          </w:tcPr>
          <w:p w14:paraId="110CEC0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6号楼</w:t>
            </w:r>
          </w:p>
        </w:tc>
        <w:tc>
          <w:tcPr>
            <w:tcW w:w="1920" w:type="dxa"/>
            <w:noWrap w:val="0"/>
            <w:vAlign w:val="center"/>
          </w:tcPr>
          <w:p w14:paraId="0956804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1425</w:t>
            </w:r>
          </w:p>
        </w:tc>
        <w:tc>
          <w:tcPr>
            <w:tcW w:w="1890" w:type="dxa"/>
            <w:noWrap w:val="0"/>
            <w:vAlign w:val="center"/>
          </w:tcPr>
          <w:p w14:paraId="5E1CADF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7838</w:t>
            </w:r>
          </w:p>
        </w:tc>
        <w:tc>
          <w:tcPr>
            <w:tcW w:w="2681" w:type="dxa"/>
            <w:noWrap w:val="0"/>
            <w:vAlign w:val="center"/>
          </w:tcPr>
          <w:p w14:paraId="4585AF8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</w:p>
        </w:tc>
      </w:tr>
      <w:tr w14:paraId="4D9C322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2" w:hRule="atLeast"/>
        </w:trPr>
        <w:tc>
          <w:tcPr>
            <w:tcW w:w="705" w:type="dxa"/>
            <w:noWrap w:val="0"/>
            <w:vAlign w:val="center"/>
          </w:tcPr>
          <w:p w14:paraId="125D542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</w:p>
        </w:tc>
        <w:tc>
          <w:tcPr>
            <w:tcW w:w="2595" w:type="dxa"/>
            <w:noWrap w:val="0"/>
            <w:vAlign w:val="center"/>
          </w:tcPr>
          <w:p w14:paraId="70F1315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7号楼</w:t>
            </w:r>
          </w:p>
        </w:tc>
        <w:tc>
          <w:tcPr>
            <w:tcW w:w="1920" w:type="dxa"/>
            <w:noWrap w:val="0"/>
            <w:vAlign w:val="center"/>
          </w:tcPr>
          <w:p w14:paraId="7327107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507</w:t>
            </w:r>
          </w:p>
        </w:tc>
        <w:tc>
          <w:tcPr>
            <w:tcW w:w="1890" w:type="dxa"/>
            <w:noWrap w:val="0"/>
            <w:vAlign w:val="center"/>
          </w:tcPr>
          <w:p w14:paraId="25DAAC4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2538</w:t>
            </w:r>
          </w:p>
        </w:tc>
        <w:tc>
          <w:tcPr>
            <w:tcW w:w="2681" w:type="dxa"/>
            <w:noWrap w:val="0"/>
            <w:vAlign w:val="center"/>
          </w:tcPr>
          <w:p w14:paraId="3490AA0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</w:t>
            </w:r>
          </w:p>
        </w:tc>
      </w:tr>
      <w:tr w14:paraId="549F4E2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705" w:type="dxa"/>
            <w:noWrap w:val="0"/>
            <w:vAlign w:val="center"/>
          </w:tcPr>
          <w:p w14:paraId="6AF6F29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</w:t>
            </w:r>
          </w:p>
        </w:tc>
        <w:tc>
          <w:tcPr>
            <w:tcW w:w="2595" w:type="dxa"/>
            <w:noWrap w:val="0"/>
            <w:vAlign w:val="center"/>
          </w:tcPr>
          <w:p w14:paraId="753DE73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8号楼</w:t>
            </w:r>
          </w:p>
        </w:tc>
        <w:tc>
          <w:tcPr>
            <w:tcW w:w="1920" w:type="dxa"/>
            <w:noWrap w:val="0"/>
            <w:vAlign w:val="center"/>
          </w:tcPr>
          <w:p w14:paraId="101A1E5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859</w:t>
            </w:r>
          </w:p>
        </w:tc>
        <w:tc>
          <w:tcPr>
            <w:tcW w:w="1890" w:type="dxa"/>
            <w:noWrap w:val="0"/>
            <w:vAlign w:val="center"/>
          </w:tcPr>
          <w:p w14:paraId="5FB481E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2577</w:t>
            </w:r>
          </w:p>
        </w:tc>
        <w:tc>
          <w:tcPr>
            <w:tcW w:w="2681" w:type="dxa"/>
            <w:noWrap w:val="0"/>
            <w:vAlign w:val="center"/>
          </w:tcPr>
          <w:p w14:paraId="71BB502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</w:t>
            </w:r>
          </w:p>
        </w:tc>
      </w:tr>
      <w:tr w14:paraId="37B1CC6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705" w:type="dxa"/>
            <w:noWrap w:val="0"/>
            <w:vAlign w:val="center"/>
          </w:tcPr>
          <w:p w14:paraId="0A94046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</w:t>
            </w:r>
          </w:p>
        </w:tc>
        <w:tc>
          <w:tcPr>
            <w:tcW w:w="2595" w:type="dxa"/>
            <w:noWrap w:val="0"/>
            <w:vAlign w:val="center"/>
          </w:tcPr>
          <w:p w14:paraId="561737E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9号楼</w:t>
            </w:r>
          </w:p>
        </w:tc>
        <w:tc>
          <w:tcPr>
            <w:tcW w:w="1920" w:type="dxa"/>
            <w:noWrap w:val="0"/>
            <w:vAlign w:val="center"/>
          </w:tcPr>
          <w:p w14:paraId="36D2A5A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1472</w:t>
            </w:r>
          </w:p>
        </w:tc>
        <w:tc>
          <w:tcPr>
            <w:tcW w:w="1890" w:type="dxa"/>
            <w:noWrap w:val="0"/>
            <w:vAlign w:val="center"/>
          </w:tcPr>
          <w:p w14:paraId="3CB6F47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4788</w:t>
            </w:r>
          </w:p>
        </w:tc>
        <w:tc>
          <w:tcPr>
            <w:tcW w:w="2681" w:type="dxa"/>
            <w:noWrap w:val="0"/>
            <w:vAlign w:val="center"/>
          </w:tcPr>
          <w:p w14:paraId="63DAA4A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4.5</w:t>
            </w:r>
          </w:p>
        </w:tc>
      </w:tr>
      <w:tr w14:paraId="46EC9D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705" w:type="dxa"/>
            <w:noWrap w:val="0"/>
            <w:vAlign w:val="center"/>
          </w:tcPr>
          <w:p w14:paraId="3C19AA5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</w:t>
            </w:r>
          </w:p>
        </w:tc>
        <w:tc>
          <w:tcPr>
            <w:tcW w:w="2595" w:type="dxa"/>
            <w:noWrap w:val="0"/>
            <w:vAlign w:val="center"/>
          </w:tcPr>
          <w:p w14:paraId="427561C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10号楼</w:t>
            </w:r>
          </w:p>
        </w:tc>
        <w:tc>
          <w:tcPr>
            <w:tcW w:w="1920" w:type="dxa"/>
            <w:noWrap w:val="0"/>
            <w:vAlign w:val="center"/>
          </w:tcPr>
          <w:p w14:paraId="09BD418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938.9</w:t>
            </w:r>
          </w:p>
        </w:tc>
        <w:tc>
          <w:tcPr>
            <w:tcW w:w="1890" w:type="dxa"/>
            <w:noWrap w:val="0"/>
            <w:vAlign w:val="center"/>
          </w:tcPr>
          <w:p w14:paraId="18F2916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6478.09</w:t>
            </w:r>
          </w:p>
        </w:tc>
        <w:tc>
          <w:tcPr>
            <w:tcW w:w="2681" w:type="dxa"/>
            <w:noWrap w:val="0"/>
            <w:vAlign w:val="center"/>
          </w:tcPr>
          <w:p w14:paraId="3E63C52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7</w:t>
            </w:r>
          </w:p>
        </w:tc>
      </w:tr>
      <w:tr w14:paraId="42DE34E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705" w:type="dxa"/>
            <w:noWrap w:val="0"/>
            <w:vAlign w:val="center"/>
          </w:tcPr>
          <w:p w14:paraId="4803D48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</w:t>
            </w:r>
          </w:p>
        </w:tc>
        <w:tc>
          <w:tcPr>
            <w:tcW w:w="2595" w:type="dxa"/>
            <w:noWrap w:val="0"/>
            <w:vAlign w:val="center"/>
          </w:tcPr>
          <w:p w14:paraId="56BDFE4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11号楼</w:t>
            </w:r>
          </w:p>
        </w:tc>
        <w:tc>
          <w:tcPr>
            <w:tcW w:w="1920" w:type="dxa"/>
            <w:noWrap w:val="0"/>
            <w:vAlign w:val="center"/>
          </w:tcPr>
          <w:p w14:paraId="4B35740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1428</w:t>
            </w:r>
          </w:p>
        </w:tc>
        <w:tc>
          <w:tcPr>
            <w:tcW w:w="1890" w:type="dxa"/>
            <w:noWrap w:val="0"/>
            <w:vAlign w:val="center"/>
          </w:tcPr>
          <w:p w14:paraId="7E87F91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2248</w:t>
            </w:r>
          </w:p>
        </w:tc>
        <w:tc>
          <w:tcPr>
            <w:tcW w:w="2681" w:type="dxa"/>
            <w:noWrap w:val="0"/>
            <w:vAlign w:val="center"/>
          </w:tcPr>
          <w:p w14:paraId="7E0FB30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2.5</w:t>
            </w:r>
          </w:p>
        </w:tc>
      </w:tr>
      <w:tr w14:paraId="3CDF235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705" w:type="dxa"/>
            <w:noWrap w:val="0"/>
            <w:vAlign w:val="center"/>
          </w:tcPr>
          <w:p w14:paraId="07B6EB7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10</w:t>
            </w:r>
          </w:p>
        </w:tc>
        <w:tc>
          <w:tcPr>
            <w:tcW w:w="2595" w:type="dxa"/>
            <w:noWrap w:val="0"/>
            <w:vAlign w:val="center"/>
          </w:tcPr>
          <w:p w14:paraId="6C695D1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二门诊宿舍</w:t>
            </w:r>
          </w:p>
        </w:tc>
        <w:tc>
          <w:tcPr>
            <w:tcW w:w="1920" w:type="dxa"/>
            <w:noWrap w:val="0"/>
            <w:vAlign w:val="center"/>
          </w:tcPr>
          <w:p w14:paraId="55123EE2">
            <w:pPr>
              <w:keepNext w:val="0"/>
              <w:keepLines w:val="0"/>
              <w:pageBreakBefore w:val="0"/>
              <w:widowControl w:val="0"/>
              <w:suppressLineNumbers w:val="0"/>
              <w:tabs>
                <w:tab w:val="center" w:pos="742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338</w:t>
            </w:r>
          </w:p>
        </w:tc>
        <w:tc>
          <w:tcPr>
            <w:tcW w:w="1890" w:type="dxa"/>
            <w:noWrap w:val="0"/>
            <w:vAlign w:val="center"/>
          </w:tcPr>
          <w:p w14:paraId="2F4C757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2281</w:t>
            </w:r>
          </w:p>
        </w:tc>
        <w:tc>
          <w:tcPr>
            <w:tcW w:w="2681" w:type="dxa"/>
            <w:noWrap w:val="0"/>
            <w:vAlign w:val="center"/>
          </w:tcPr>
          <w:p w14:paraId="070150B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</w:t>
            </w:r>
          </w:p>
        </w:tc>
      </w:tr>
      <w:tr w14:paraId="66D8B7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705" w:type="dxa"/>
            <w:noWrap w:val="0"/>
            <w:vAlign w:val="center"/>
          </w:tcPr>
          <w:p w14:paraId="2C5E64B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11</w:t>
            </w:r>
          </w:p>
        </w:tc>
        <w:tc>
          <w:tcPr>
            <w:tcW w:w="2595" w:type="dxa"/>
            <w:noWrap w:val="0"/>
            <w:vAlign w:val="center"/>
          </w:tcPr>
          <w:p w14:paraId="43F7962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三门诊宿舍</w:t>
            </w:r>
          </w:p>
        </w:tc>
        <w:tc>
          <w:tcPr>
            <w:tcW w:w="1920" w:type="dxa"/>
            <w:noWrap w:val="0"/>
            <w:vAlign w:val="center"/>
          </w:tcPr>
          <w:p w14:paraId="12C20A6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820</w:t>
            </w:r>
          </w:p>
        </w:tc>
        <w:tc>
          <w:tcPr>
            <w:tcW w:w="1890" w:type="dxa"/>
            <w:noWrap w:val="0"/>
            <w:vAlign w:val="center"/>
          </w:tcPr>
          <w:p w14:paraId="4F4EF01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5737</w:t>
            </w:r>
          </w:p>
        </w:tc>
        <w:tc>
          <w:tcPr>
            <w:tcW w:w="2681" w:type="dxa"/>
            <w:noWrap w:val="0"/>
            <w:vAlign w:val="center"/>
          </w:tcPr>
          <w:p w14:paraId="0EF16F4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</w:t>
            </w:r>
          </w:p>
        </w:tc>
      </w:tr>
      <w:tr w14:paraId="5E6AAF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0" w:hRule="atLeast"/>
        </w:trPr>
        <w:tc>
          <w:tcPr>
            <w:tcW w:w="705" w:type="dxa"/>
            <w:noWrap w:val="0"/>
            <w:vAlign w:val="center"/>
          </w:tcPr>
          <w:p w14:paraId="6FC7488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12</w:t>
            </w:r>
          </w:p>
        </w:tc>
        <w:tc>
          <w:tcPr>
            <w:tcW w:w="2595" w:type="dxa"/>
            <w:noWrap w:val="0"/>
            <w:vAlign w:val="center"/>
          </w:tcPr>
          <w:p w14:paraId="546DD7B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</w:rPr>
              <w:t>专家村</w:t>
            </w: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宿舍</w:t>
            </w:r>
          </w:p>
        </w:tc>
        <w:tc>
          <w:tcPr>
            <w:tcW w:w="1920" w:type="dxa"/>
            <w:noWrap w:val="0"/>
            <w:vAlign w:val="center"/>
          </w:tcPr>
          <w:p w14:paraId="7890CE3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370</w:t>
            </w:r>
          </w:p>
        </w:tc>
        <w:tc>
          <w:tcPr>
            <w:tcW w:w="1890" w:type="dxa"/>
            <w:noWrap w:val="0"/>
            <w:vAlign w:val="center"/>
          </w:tcPr>
          <w:p w14:paraId="378D544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30000</w:t>
            </w:r>
          </w:p>
        </w:tc>
        <w:tc>
          <w:tcPr>
            <w:tcW w:w="2681" w:type="dxa"/>
            <w:noWrap w:val="0"/>
            <w:vAlign w:val="center"/>
          </w:tcPr>
          <w:p w14:paraId="25A1246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="0" w:beforeAutospacing="0" w:after="0" w:afterAutospacing="0" w:line="600" w:lineRule="exact"/>
              <w:ind w:left="0" w:right="0"/>
              <w:jc w:val="center"/>
              <w:textAlignment w:val="auto"/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4"/>
                <w:szCs w:val="24"/>
                <w:lang w:val="en-US" w:eastAsia="zh-CN"/>
              </w:rPr>
              <w:t>9栋9层</w:t>
            </w:r>
          </w:p>
        </w:tc>
      </w:tr>
    </w:tbl>
    <w:p w14:paraId="633FE78D">
      <w:pP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、服务标准、频率、内容</w:t>
      </w:r>
    </w:p>
    <w:p w14:paraId="1B7DCD55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2.1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服务频率</w:t>
      </w:r>
    </w:p>
    <w:p w14:paraId="5440B7D3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）高州市人民医院总院区、第二门诊部、第三门诊部、专家村住宅小区，每月统一消杀≧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14B876B4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）特殊情况下由双方协商，个别地方根据实际情况增加消杀次数，以达到创卫标准。</w:t>
      </w:r>
    </w:p>
    <w:p w14:paraId="1E486150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2.2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服务质量标准</w:t>
      </w:r>
    </w:p>
    <w:p w14:paraId="3A491237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）技术标准：中华人民共和国卫生部、中国国家标准化管理委员会《病媒生物密度控制水平一鼠类、蚊虫、蝇类、蜚蠊》的4个中华人民共和国国家标准 (GB/T27770、27771、27772、27773—2011)。鼠类、蚊虫、蝇类、蜚蠊达到C 级以上。</w:t>
      </w:r>
    </w:p>
    <w:p w14:paraId="5D27646C">
      <w:pPr>
        <w:spacing w:line="360" w:lineRule="auto"/>
        <w:ind w:firstLine="240" w:firstLineChars="1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1)灭蚊标准：①内外环境各种存水容器和积水中，蚊幼虫及蛹的阳性率不超过3%;  ②用500ml 收集勺采集院区内大中型水体中的蚊幼虫或蛹阳性率不超过3%,阳性勺内幼虫或蛹的平均数不超过5只；③特殊场所白天人诱蚊30分钟，平均每人次诱获成蚊数不超过5只。</w:t>
      </w:r>
    </w:p>
    <w:p w14:paraId="2E93E16F">
      <w:pPr>
        <w:spacing w:line="360" w:lineRule="auto"/>
        <w:ind w:firstLine="240" w:firstLineChars="1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2)灭蝇标准：①屋内有蝇房间不超过3%,其它公共区域不超过5%,平均每阳性房间不超过5只；重点区域不超过5%;食堂加工、销售直接入口食品的场所不得有蝇。②蝇类孳生地得到有效治理，幼虫和蛹的检出率不超过5%;</w:t>
      </w:r>
    </w:p>
    <w:p w14:paraId="482A2C27">
      <w:pPr>
        <w:spacing w:line="360" w:lineRule="auto"/>
        <w:ind w:firstLine="240" w:firstLineChars="1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3)灭蟑螂标准：①室内有蟑螂成虫或若虫阳性房间不超过3%,房大蠊不超过5只，小蠊不超过10只；②有活蟑螂卵鞘房间不超过2%,平均每间房不超过4只；3)公共区域有蟑螂不超过7%；</w:t>
      </w:r>
    </w:p>
    <w:p w14:paraId="0046B1BF">
      <w:pPr>
        <w:spacing w:line="360" w:lineRule="auto"/>
        <w:ind w:firstLine="240" w:firstLineChars="100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4)灭鼠标准：屋内有鼠房间不超过1%,平均每间房鼠不超过2只，公共区域、绿化地鼠不超过3%。</w:t>
      </w:r>
    </w:p>
    <w:p w14:paraId="6952B104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）监测标准：中华人民共和国国家质量监督检验检疫总局、中国国家标准化管理委员</w:t>
      </w:r>
    </w:p>
    <w:p w14:paraId="7BB8255F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会《病媒生物密度监测方法一蜚蠊、蝇类、蚊虫、鼠类》的4个中华人民共和国国家标准</w:t>
      </w:r>
    </w:p>
    <w:p w14:paraId="5701DF9B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(GB/T23795、23796、23797、23798—2009)。</w:t>
      </w:r>
    </w:p>
    <w:p w14:paraId="1F2FACE0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2.3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服务内容：灭蚊、灭蝇、灭蟑螂、灭鼠、白蚁防治。</w:t>
      </w:r>
    </w:p>
    <w:p w14:paraId="34951EE6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2.3.1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灭鼠</w:t>
      </w:r>
    </w:p>
    <w:p w14:paraId="23F1841F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1）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每月饱和投放毒饵或布放粘鼠板，院区毒饵投放≧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20KG，专家村毒饵投放≧10KG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4F41E2BE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）每月跟踪调查鼠密度≧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；发现鼠迹立即清理并及时补充毒饵，并做好密度登记。</w:t>
      </w:r>
    </w:p>
    <w:p w14:paraId="1626E966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）根据医院要求安装使用毒鼠屋≧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132个，杜绝露天投放鼠药。每次投放鼠药包装及有效期保存备查。</w:t>
      </w:r>
    </w:p>
    <w:tbl>
      <w:tblPr>
        <w:tblStyle w:val="5"/>
        <w:tblW w:w="9573" w:type="dxa"/>
        <w:tblInd w:w="154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7"/>
        <w:gridCol w:w="6047"/>
        <w:gridCol w:w="2659"/>
      </w:tblGrid>
      <w:tr w14:paraId="55112E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35" w:hRule="atLeast"/>
        </w:trPr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0F1B1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6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4E01C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分布位置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B6E1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数量</w:t>
            </w:r>
          </w:p>
        </w:tc>
      </w:tr>
      <w:tr w14:paraId="6A0A70F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21259B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6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1C346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10号楼大门口至供应室边上外围墙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1222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42051F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BB4236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6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89202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8号楼后面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BA057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</w:tr>
      <w:tr w14:paraId="5DBDBF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54B981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6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AC4C5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8号前沿线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32910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3DDB0F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0A5190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6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2BBEE7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13号楼核医学科后面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11CCD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6E244F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AD5475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6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F6C7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地巾地布消毒房旁边内围墙边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4D93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14D7986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236C25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6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3E69F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11号楼化疗科沿线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B9C1A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018012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BE2CCA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6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060EA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发热门诊围墙内沿线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2ADDB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41E900D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C74854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6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DA253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发热门诊外围墙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5DCF4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616C7AA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58706ED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6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4C771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5号楼围墙内沿线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7BB63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</w:tr>
      <w:tr w14:paraId="4D4D2B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40" w:hRule="atLeast"/>
        </w:trPr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BED527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6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28DB5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1号楼围墙内沿线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5E14C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5B9DC6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0" w:hRule="atLeast"/>
        </w:trPr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6C334DD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6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76F1E8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1号楼地下车库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CF065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</w:tr>
      <w:tr w14:paraId="70704A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37393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6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D5092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院大门口-3号楼围墙内沿线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F9DD1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778191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3DA66BB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6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8CE12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7号楼墙边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47748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</w:tr>
      <w:tr w14:paraId="59DD7E3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FAEA53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6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38D83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6-9号楼内墙边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9DAB1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</w:tr>
      <w:tr w14:paraId="0BA8838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CBB37EE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6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513F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9号楼后面（杂物堆放区）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F8AD42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0B4432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5" w:hRule="atLeast"/>
        </w:trPr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A12DB1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6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60573D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2号楼地面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FA18BF9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</w:tr>
      <w:tr w14:paraId="6F1FA9D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76178D6F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6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BF3F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2号地下车库负一层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60755C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</w:tr>
      <w:tr w14:paraId="2223F6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41DBDF1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6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9ACA2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2号地下车库负二层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728A64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</w:tr>
      <w:tr w14:paraId="5778DD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2" w:hRule="atLeast"/>
        </w:trPr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1B627C3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6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361D5A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2号楼后面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182C36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5E0021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27623A0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6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79AAE7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饭堂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894850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</w:tr>
      <w:tr w14:paraId="33CFB90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</w:trPr>
        <w:tc>
          <w:tcPr>
            <w:tcW w:w="86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044D1112">
            <w:pPr>
              <w:keepNext w:val="0"/>
              <w:keepLines w:val="0"/>
              <w:suppressLineNumbers w:val="0"/>
              <w:spacing w:before="0" w:beforeAutospacing="0" w:after="0" w:afterAutospacing="0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</w:p>
        </w:tc>
        <w:tc>
          <w:tcPr>
            <w:tcW w:w="604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nil"/>
            </w:tcBorders>
            <w:shd w:val="clear" w:color="auto" w:fill="auto"/>
            <w:noWrap/>
            <w:vAlign w:val="center"/>
          </w:tcPr>
          <w:p w14:paraId="49748083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  <w:tc>
          <w:tcPr>
            <w:tcW w:w="26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F079E5">
            <w:pPr>
              <w:keepNext w:val="0"/>
              <w:keepLines w:val="0"/>
              <w:widowControl/>
              <w:suppressLineNumbers w:val="0"/>
              <w:spacing w:before="0" w:beforeAutospacing="0" w:after="0" w:afterAutospacing="0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132</w:t>
            </w:r>
          </w:p>
        </w:tc>
      </w:tr>
    </w:tbl>
    <w:p w14:paraId="753FA435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4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）鼠密度监测：每月一次。</w:t>
      </w:r>
    </w:p>
    <w:p w14:paraId="19A7F412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2.3.2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灭蝇</w:t>
      </w:r>
    </w:p>
    <w:p w14:paraId="335CD3FF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）垃圾存放容器、卫生死角、垃圾收集点以及未能预计的小型蝇孳生地喷药灭蛆、滞留喷洒灭成蝇每月≧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7EFB6D9A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）每月一次检查孳生地处理，并建档备查。</w:t>
      </w:r>
    </w:p>
    <w:p w14:paraId="4462BEB4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3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）蝇密度监测：每月一次。</w:t>
      </w:r>
    </w:p>
    <w:p w14:paraId="2A151445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2.3.3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灭蚊</w:t>
      </w:r>
    </w:p>
    <w:p w14:paraId="0138B199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(1)采用2%杀虫热雾剂和40%毒死蜱；对公共区域进行用烟雾剂和毒死蜱全面喷杀，防止蚊子、苍蝇的繁殖。</w:t>
      </w:r>
    </w:p>
    <w:p w14:paraId="71AA2513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(2)每月一次普查登记蚊孳生地，发现幼虫孳生，立即施药处理。</w:t>
      </w:r>
    </w:p>
    <w:p w14:paraId="50290982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(3)下水道沉沙井(有积水的),每井吊挂含10克倍硫磷缓释剂木塞1粒或投放倍硫磷颗粒缓释剂，控制蚊幼虫孳生。</w:t>
      </w:r>
    </w:p>
    <w:p w14:paraId="42E0626D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(4)下水道烟熏灭蚊：每月对下水道进行热烟雾处理≧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2B66AD79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(5)每月对所属范围内的建筑物室内进行常规滞留喷洒/空间喷洒灭蚊。</w:t>
      </w:r>
    </w:p>
    <w:p w14:paraId="757A8842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6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）蚊密度监测：每月一次。</w:t>
      </w:r>
    </w:p>
    <w:p w14:paraId="36C2314C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2.3.4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灭蟑螂</w:t>
      </w:r>
    </w:p>
    <w:p w14:paraId="61031E7A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1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）每月对外环境的下水道进行热烟雾剂处理≧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2次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，对医院院内现有的建筑物进行全面检查灭治，针对有蟑螂栖生科室的病房、配餐间、污物间、管道间等蟑螂经常活动的场所进行布点放置蟑螂屋，投放进口杀蟑胶饵药物进行灭杀蟑螂，每月每房≧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20克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。</w:t>
      </w:r>
    </w:p>
    <w:p w14:paraId="283425A8">
      <w:pPr>
        <w:spacing w:line="360" w:lineRule="auto"/>
        <w:rPr>
          <w:rFonts w:hint="eastAsia" w:ascii="宋体" w:hAnsi="宋体" w:eastAsia="宋体" w:cs="宋体"/>
          <w:sz w:val="24"/>
          <w:szCs w:val="24"/>
          <w:lang w:eastAsia="zh-CN"/>
        </w:rPr>
      </w:pPr>
      <w:r>
        <w:rPr>
          <w:rFonts w:hint="eastAsia" w:ascii="宋体" w:hAnsi="宋体" w:eastAsia="宋体" w:cs="宋体"/>
          <w:sz w:val="24"/>
          <w:szCs w:val="24"/>
          <w:lang w:eastAsia="zh-CN"/>
        </w:rPr>
        <w:t>（</w:t>
      </w: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sz w:val="24"/>
          <w:szCs w:val="24"/>
          <w:lang w:eastAsia="zh-CN"/>
        </w:rPr>
        <w:t>）蟑螂密度监测：每月一次。</w:t>
      </w:r>
    </w:p>
    <w:p w14:paraId="556AA96E">
      <w:pPr>
        <w:spacing w:line="360" w:lineRule="auto"/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2.3.5白蚁防治</w:t>
      </w:r>
    </w:p>
    <w:p w14:paraId="4AC02BBE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（1）坚持预防为主，防治结合的原则，采用严格的技术手段，确保建筑不受蚁害。</w:t>
      </w:r>
    </w:p>
    <w:p w14:paraId="7EA7389D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（2）每年≧1次对各区域进行白蚁探测，发现白蚁，利用粉剂鸩杀，施药后必须进行一次药效查看。</w:t>
      </w:r>
    </w:p>
    <w:p w14:paraId="0ED0CB54">
      <w:pPr>
        <w:spacing w:line="360" w:lineRule="auto"/>
        <w:rPr>
          <w:rFonts w:hint="eastAsia" w:ascii="宋体" w:hAnsi="宋体" w:eastAsia="宋体" w:cs="宋体"/>
          <w:sz w:val="24"/>
          <w:szCs w:val="24"/>
          <w:lang w:val="en-US" w:eastAsia="zh-CN"/>
        </w:rPr>
      </w:pPr>
      <w:r>
        <w:rPr>
          <w:rFonts w:hint="eastAsia" w:ascii="宋体" w:hAnsi="宋体" w:eastAsia="宋体" w:cs="宋体"/>
          <w:sz w:val="24"/>
          <w:szCs w:val="24"/>
          <w:lang w:val="en-US" w:eastAsia="zh-CN"/>
        </w:rPr>
        <w:t>（3）院方如发现白蚁，无条件配合院方进行粉剂鸩杀。</w:t>
      </w:r>
    </w:p>
    <w:p w14:paraId="49EC5A14">
      <w:pPr>
        <w:pStyle w:val="2"/>
        <w:rPr>
          <w:rFonts w:hint="eastAsia" w:hAnsi="宋体" w:cs="宋体"/>
          <w:sz w:val="24"/>
          <w:szCs w:val="24"/>
          <w:lang w:val="en-US" w:eastAsia="zh-CN"/>
        </w:rPr>
      </w:pPr>
      <w:r>
        <w:rPr>
          <w:rFonts w:hint="eastAsia" w:hAnsi="宋体" w:cs="宋体"/>
          <w:sz w:val="24"/>
          <w:szCs w:val="24"/>
          <w:lang w:val="en-US" w:eastAsia="zh-CN"/>
        </w:rPr>
        <w:t>2.3.6 其他</w:t>
      </w:r>
    </w:p>
    <w:p w14:paraId="1BFB93E2">
      <w:pPr>
        <w:pStyle w:val="3"/>
        <w:ind w:left="0" w:leftChars="0" w:firstLine="0" w:firstLineChars="0"/>
        <w:rPr>
          <w:rFonts w:hint="eastAsia" w:hAnsi="宋体" w:cs="宋体"/>
          <w:sz w:val="24"/>
          <w:szCs w:val="24"/>
          <w:lang w:val="en-US" w:eastAsia="zh-CN"/>
        </w:rPr>
      </w:pPr>
      <w:r>
        <w:rPr>
          <w:rFonts w:hint="eastAsia" w:hAnsi="宋体" w:cs="宋体"/>
          <w:sz w:val="24"/>
          <w:szCs w:val="24"/>
          <w:lang w:val="en-US" w:eastAsia="zh-CN"/>
        </w:rPr>
        <w:t>（1）对麻醉科、重症医学科、急诊科、门诊、感染科等关键部门，应医院要求随时增加病媒生物防治次数。</w:t>
      </w:r>
    </w:p>
    <w:p w14:paraId="0AB48648">
      <w:pPr>
        <w:pStyle w:val="3"/>
        <w:ind w:left="0" w:leftChars="0" w:firstLine="0" w:firstLineChars="0"/>
        <w:rPr>
          <w:rFonts w:hint="default" w:hAnsi="宋体" w:cs="宋体"/>
          <w:sz w:val="24"/>
          <w:szCs w:val="24"/>
          <w:lang w:val="en-US" w:eastAsia="zh-CN"/>
        </w:rPr>
      </w:pPr>
      <w:r>
        <w:rPr>
          <w:rFonts w:hint="eastAsia" w:hAnsi="宋体" w:cs="宋体"/>
          <w:sz w:val="24"/>
          <w:szCs w:val="24"/>
          <w:lang w:val="en-US" w:eastAsia="zh-CN"/>
        </w:rPr>
        <w:t>（2）院内、宿舍区如发现蛇，无条件配合院方采用雄黄、硫磺、生石灰、白醋喷雾等方式驱蛇。</w:t>
      </w:r>
    </w:p>
    <w:p w14:paraId="1EA9D3A4">
      <w:pPr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3、报价清单（按</w:t>
      </w:r>
      <w:r>
        <w:rPr>
          <w:rFonts w:hint="eastAsia" w:ascii="宋体" w:hAnsi="宋体" w:cs="宋体"/>
          <w:b/>
          <w:bCs/>
          <w:sz w:val="24"/>
          <w:szCs w:val="24"/>
          <w:lang w:val="en-US" w:eastAsia="zh-CN"/>
        </w:rPr>
        <w:t>一</w:t>
      </w:r>
      <w:r>
        <w:rPr>
          <w:rFonts w:hint="eastAsia" w:ascii="宋体" w:hAnsi="宋体" w:eastAsia="宋体" w:cs="宋体"/>
          <w:b/>
          <w:bCs/>
          <w:sz w:val="24"/>
          <w:szCs w:val="24"/>
          <w:lang w:val="en-US" w:eastAsia="zh-CN"/>
        </w:rPr>
        <w:t>年服务量报价）</w:t>
      </w:r>
    </w:p>
    <w:tbl>
      <w:tblPr>
        <w:tblStyle w:val="6"/>
        <w:tblW w:w="9497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67"/>
        <w:gridCol w:w="3560"/>
        <w:gridCol w:w="1044"/>
        <w:gridCol w:w="1203"/>
        <w:gridCol w:w="1199"/>
        <w:gridCol w:w="1724"/>
      </w:tblGrid>
      <w:tr w14:paraId="21801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67" w:type="dxa"/>
            <w:vAlign w:val="center"/>
          </w:tcPr>
          <w:p w14:paraId="3F33977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560" w:type="dxa"/>
            <w:vAlign w:val="center"/>
          </w:tcPr>
          <w:p w14:paraId="66F4C58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服务内容</w:t>
            </w:r>
          </w:p>
        </w:tc>
        <w:tc>
          <w:tcPr>
            <w:tcW w:w="1044" w:type="dxa"/>
            <w:vAlign w:val="center"/>
          </w:tcPr>
          <w:p w14:paraId="50A90BC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数量</w:t>
            </w:r>
          </w:p>
        </w:tc>
        <w:tc>
          <w:tcPr>
            <w:tcW w:w="1203" w:type="dxa"/>
            <w:vAlign w:val="center"/>
          </w:tcPr>
          <w:p w14:paraId="61BE720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color w:val="000000" w:themeColor="text1"/>
                <w:sz w:val="24"/>
                <w:szCs w:val="24"/>
                <w:vertAlign w:val="baseline"/>
                <w:lang w:val="en-US" w:eastAsia="zh-CN"/>
                <w14:textFill>
                  <w14:solidFill>
                    <w14:schemeClr w14:val="tx1"/>
                  </w14:solidFill>
                </w14:textFill>
              </w:rPr>
            </w:pPr>
            <w:r>
              <w:rPr>
                <w:rFonts w:hint="eastAsia" w:ascii="宋体" w:hAnsi="宋体" w:eastAsia="宋体" w:cs="宋体"/>
                <w:i w:val="0"/>
                <w:color w:val="000000" w:themeColor="text1"/>
                <w:kern w:val="0"/>
                <w:sz w:val="24"/>
                <w:szCs w:val="24"/>
                <w:u w:val="none"/>
                <w:lang w:val="en-US" w:eastAsia="zh-CN" w:bidi="ar"/>
                <w14:textFill>
                  <w14:solidFill>
                    <w14:schemeClr w14:val="tx1"/>
                  </w14:solidFill>
                </w14:textFill>
              </w:rPr>
              <w:t>单位</w:t>
            </w:r>
          </w:p>
        </w:tc>
        <w:tc>
          <w:tcPr>
            <w:tcW w:w="1199" w:type="dxa"/>
            <w:vAlign w:val="center"/>
          </w:tcPr>
          <w:p w14:paraId="4B67AF2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单价</w:t>
            </w:r>
          </w:p>
        </w:tc>
        <w:tc>
          <w:tcPr>
            <w:tcW w:w="1724" w:type="dxa"/>
            <w:vAlign w:val="center"/>
          </w:tcPr>
          <w:p w14:paraId="03780AB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</w:t>
            </w:r>
          </w:p>
        </w:tc>
      </w:tr>
      <w:tr w14:paraId="2A6F33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67" w:type="dxa"/>
            <w:vAlign w:val="center"/>
          </w:tcPr>
          <w:p w14:paraId="3502642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560" w:type="dxa"/>
            <w:vAlign w:val="center"/>
          </w:tcPr>
          <w:p w14:paraId="7441A84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鼠屋</w:t>
            </w:r>
          </w:p>
        </w:tc>
        <w:tc>
          <w:tcPr>
            <w:tcW w:w="1044" w:type="dxa"/>
            <w:vAlign w:val="center"/>
          </w:tcPr>
          <w:p w14:paraId="34D881B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200</w:t>
            </w:r>
          </w:p>
        </w:tc>
        <w:tc>
          <w:tcPr>
            <w:tcW w:w="1203" w:type="dxa"/>
            <w:vAlign w:val="center"/>
          </w:tcPr>
          <w:p w14:paraId="5892B0D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只</w:t>
            </w:r>
          </w:p>
        </w:tc>
        <w:tc>
          <w:tcPr>
            <w:tcW w:w="1199" w:type="dxa"/>
            <w:vAlign w:val="center"/>
          </w:tcPr>
          <w:p w14:paraId="11B17BE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4" w:type="dxa"/>
            <w:vAlign w:val="center"/>
          </w:tcPr>
          <w:p w14:paraId="7AB8768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C0FC9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67" w:type="dxa"/>
            <w:vAlign w:val="center"/>
          </w:tcPr>
          <w:p w14:paraId="6818F80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560" w:type="dxa"/>
            <w:vAlign w:val="center"/>
          </w:tcPr>
          <w:p w14:paraId="58BCADF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毒饵</w:t>
            </w:r>
          </w:p>
        </w:tc>
        <w:tc>
          <w:tcPr>
            <w:tcW w:w="1044" w:type="dxa"/>
            <w:vAlign w:val="center"/>
          </w:tcPr>
          <w:p w14:paraId="6C0639D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500</w:t>
            </w:r>
          </w:p>
        </w:tc>
        <w:tc>
          <w:tcPr>
            <w:tcW w:w="1203" w:type="dxa"/>
            <w:vAlign w:val="center"/>
          </w:tcPr>
          <w:p w14:paraId="28969EF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KG</w:t>
            </w:r>
          </w:p>
        </w:tc>
        <w:tc>
          <w:tcPr>
            <w:tcW w:w="1199" w:type="dxa"/>
            <w:vAlign w:val="center"/>
          </w:tcPr>
          <w:p w14:paraId="11DB232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4" w:type="dxa"/>
            <w:vAlign w:val="center"/>
          </w:tcPr>
          <w:p w14:paraId="42C5F2E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DC3B4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67" w:type="dxa"/>
            <w:vAlign w:val="center"/>
          </w:tcPr>
          <w:p w14:paraId="4ABA9B6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560" w:type="dxa"/>
            <w:vAlign w:val="center"/>
          </w:tcPr>
          <w:p w14:paraId="731D2A5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粘鼠板</w:t>
            </w:r>
          </w:p>
        </w:tc>
        <w:tc>
          <w:tcPr>
            <w:tcW w:w="1044" w:type="dxa"/>
            <w:vAlign w:val="center"/>
          </w:tcPr>
          <w:p w14:paraId="60E43CB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800</w:t>
            </w:r>
          </w:p>
        </w:tc>
        <w:tc>
          <w:tcPr>
            <w:tcW w:w="1203" w:type="dxa"/>
            <w:vAlign w:val="center"/>
          </w:tcPr>
          <w:p w14:paraId="02C134F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</w:t>
            </w:r>
          </w:p>
        </w:tc>
        <w:tc>
          <w:tcPr>
            <w:tcW w:w="1199" w:type="dxa"/>
            <w:vAlign w:val="center"/>
          </w:tcPr>
          <w:p w14:paraId="172522C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4" w:type="dxa"/>
            <w:vAlign w:val="center"/>
          </w:tcPr>
          <w:p w14:paraId="65A5B31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D2B83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67" w:type="dxa"/>
            <w:vAlign w:val="center"/>
          </w:tcPr>
          <w:p w14:paraId="0D61097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560" w:type="dxa"/>
            <w:vAlign w:val="center"/>
          </w:tcPr>
          <w:p w14:paraId="324F4F6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鼠密度调查登记</w:t>
            </w:r>
          </w:p>
        </w:tc>
        <w:tc>
          <w:tcPr>
            <w:tcW w:w="1044" w:type="dxa"/>
            <w:vAlign w:val="center"/>
          </w:tcPr>
          <w:p w14:paraId="664367F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1203" w:type="dxa"/>
            <w:vAlign w:val="center"/>
          </w:tcPr>
          <w:p w14:paraId="41D9D1D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1199" w:type="dxa"/>
            <w:vAlign w:val="center"/>
          </w:tcPr>
          <w:p w14:paraId="335B3E9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4" w:type="dxa"/>
            <w:vAlign w:val="center"/>
          </w:tcPr>
          <w:p w14:paraId="5930C66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0D11318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67" w:type="dxa"/>
            <w:vAlign w:val="center"/>
          </w:tcPr>
          <w:p w14:paraId="30A655A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560" w:type="dxa"/>
            <w:vAlign w:val="center"/>
          </w:tcPr>
          <w:p w14:paraId="7D3916C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鼠密度监测</w:t>
            </w:r>
          </w:p>
        </w:tc>
        <w:tc>
          <w:tcPr>
            <w:tcW w:w="1044" w:type="dxa"/>
            <w:vAlign w:val="center"/>
          </w:tcPr>
          <w:p w14:paraId="7563299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1203" w:type="dxa"/>
            <w:vAlign w:val="center"/>
          </w:tcPr>
          <w:p w14:paraId="3F30964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1199" w:type="dxa"/>
            <w:vAlign w:val="center"/>
          </w:tcPr>
          <w:p w14:paraId="4058595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4" w:type="dxa"/>
            <w:vAlign w:val="center"/>
          </w:tcPr>
          <w:p w14:paraId="2E2EFCA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153C0F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98" w:hRule="atLeast"/>
          <w:jc w:val="center"/>
        </w:trPr>
        <w:tc>
          <w:tcPr>
            <w:tcW w:w="767" w:type="dxa"/>
            <w:vAlign w:val="center"/>
          </w:tcPr>
          <w:p w14:paraId="00F88B8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560" w:type="dxa"/>
            <w:vAlign w:val="center"/>
          </w:tcPr>
          <w:p w14:paraId="44D283B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垃圾存放容器、卫生死角、垃圾收集点等小型蝇孳生地喷药灭蛆、滞留喷洒灭成蝇</w:t>
            </w:r>
          </w:p>
        </w:tc>
        <w:tc>
          <w:tcPr>
            <w:tcW w:w="1044" w:type="dxa"/>
            <w:vAlign w:val="center"/>
          </w:tcPr>
          <w:p w14:paraId="1B4BFE4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24</w:t>
            </w:r>
          </w:p>
        </w:tc>
        <w:tc>
          <w:tcPr>
            <w:tcW w:w="1203" w:type="dxa"/>
            <w:vAlign w:val="center"/>
          </w:tcPr>
          <w:p w14:paraId="20AE169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1199" w:type="dxa"/>
            <w:vAlign w:val="center"/>
          </w:tcPr>
          <w:p w14:paraId="5F6E76C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4" w:type="dxa"/>
            <w:vAlign w:val="center"/>
          </w:tcPr>
          <w:p w14:paraId="2E1A629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9447FD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67" w:type="dxa"/>
            <w:vAlign w:val="center"/>
          </w:tcPr>
          <w:p w14:paraId="5DE1556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560" w:type="dxa"/>
            <w:vAlign w:val="center"/>
          </w:tcPr>
          <w:p w14:paraId="70F75A1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普查登记蚊孳生地</w:t>
            </w:r>
          </w:p>
        </w:tc>
        <w:tc>
          <w:tcPr>
            <w:tcW w:w="1044" w:type="dxa"/>
            <w:vAlign w:val="center"/>
          </w:tcPr>
          <w:p w14:paraId="1F9CE54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203" w:type="dxa"/>
            <w:vAlign w:val="center"/>
          </w:tcPr>
          <w:p w14:paraId="3D5A3AE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1199" w:type="dxa"/>
            <w:vAlign w:val="center"/>
          </w:tcPr>
          <w:p w14:paraId="1616CD4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4" w:type="dxa"/>
            <w:vAlign w:val="center"/>
          </w:tcPr>
          <w:p w14:paraId="6005FDC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FC6AC2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67" w:type="dxa"/>
            <w:vAlign w:val="center"/>
          </w:tcPr>
          <w:p w14:paraId="75EE0B3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560" w:type="dxa"/>
            <w:vAlign w:val="center"/>
          </w:tcPr>
          <w:p w14:paraId="33AD90E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蝇密度监测</w:t>
            </w:r>
          </w:p>
        </w:tc>
        <w:tc>
          <w:tcPr>
            <w:tcW w:w="1044" w:type="dxa"/>
            <w:vAlign w:val="center"/>
          </w:tcPr>
          <w:p w14:paraId="6DCB0BD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1203" w:type="dxa"/>
            <w:vAlign w:val="center"/>
          </w:tcPr>
          <w:p w14:paraId="1F70F11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1199" w:type="dxa"/>
            <w:vAlign w:val="center"/>
          </w:tcPr>
          <w:p w14:paraId="36223CF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4" w:type="dxa"/>
            <w:vAlign w:val="center"/>
          </w:tcPr>
          <w:p w14:paraId="775555C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ACC11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31" w:hRule="atLeast"/>
          <w:jc w:val="center"/>
        </w:trPr>
        <w:tc>
          <w:tcPr>
            <w:tcW w:w="767" w:type="dxa"/>
            <w:vAlign w:val="center"/>
          </w:tcPr>
          <w:p w14:paraId="702ED4C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560" w:type="dxa"/>
            <w:vAlign w:val="center"/>
          </w:tcPr>
          <w:p w14:paraId="0C3AB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下水道沉沙井(有积水的),每井吊挂含10克倍硫磷缓释剂木塞1粒或投放倍硫磷颗粒缓释剂</w:t>
            </w:r>
          </w:p>
        </w:tc>
        <w:tc>
          <w:tcPr>
            <w:tcW w:w="1044" w:type="dxa"/>
            <w:vAlign w:val="center"/>
          </w:tcPr>
          <w:p w14:paraId="4203527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24</w:t>
            </w:r>
          </w:p>
        </w:tc>
        <w:tc>
          <w:tcPr>
            <w:tcW w:w="1203" w:type="dxa"/>
            <w:vAlign w:val="center"/>
          </w:tcPr>
          <w:p w14:paraId="64EBDC6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1199" w:type="dxa"/>
            <w:vAlign w:val="center"/>
          </w:tcPr>
          <w:p w14:paraId="2CFAB4F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4" w:type="dxa"/>
            <w:vAlign w:val="center"/>
          </w:tcPr>
          <w:p w14:paraId="055281B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E63C5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67" w:type="dxa"/>
            <w:vAlign w:val="center"/>
          </w:tcPr>
          <w:p w14:paraId="772EB4C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560" w:type="dxa"/>
            <w:vAlign w:val="center"/>
          </w:tcPr>
          <w:p w14:paraId="362114A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下水道烟熏灭蚊</w:t>
            </w:r>
          </w:p>
        </w:tc>
        <w:tc>
          <w:tcPr>
            <w:tcW w:w="1044" w:type="dxa"/>
            <w:vAlign w:val="center"/>
          </w:tcPr>
          <w:p w14:paraId="1C0539D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24</w:t>
            </w:r>
          </w:p>
        </w:tc>
        <w:tc>
          <w:tcPr>
            <w:tcW w:w="1203" w:type="dxa"/>
            <w:vAlign w:val="center"/>
          </w:tcPr>
          <w:p w14:paraId="5F525E8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1199" w:type="dxa"/>
            <w:vAlign w:val="center"/>
          </w:tcPr>
          <w:p w14:paraId="0FBFF78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4" w:type="dxa"/>
            <w:vAlign w:val="center"/>
          </w:tcPr>
          <w:p w14:paraId="136875A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138703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64" w:hRule="atLeast"/>
          <w:jc w:val="center"/>
        </w:trPr>
        <w:tc>
          <w:tcPr>
            <w:tcW w:w="767" w:type="dxa"/>
            <w:vAlign w:val="center"/>
          </w:tcPr>
          <w:p w14:paraId="4B41455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560" w:type="dxa"/>
            <w:vAlign w:val="center"/>
          </w:tcPr>
          <w:p w14:paraId="30C44BD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建筑物室内滞留喷洒/空间喷洒灭蚊</w:t>
            </w:r>
          </w:p>
        </w:tc>
        <w:tc>
          <w:tcPr>
            <w:tcW w:w="1044" w:type="dxa"/>
            <w:vAlign w:val="center"/>
          </w:tcPr>
          <w:p w14:paraId="4AFD999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1203" w:type="dxa"/>
            <w:vAlign w:val="center"/>
          </w:tcPr>
          <w:p w14:paraId="2B96494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1199" w:type="dxa"/>
            <w:vAlign w:val="center"/>
          </w:tcPr>
          <w:p w14:paraId="6A14117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4" w:type="dxa"/>
            <w:vAlign w:val="center"/>
          </w:tcPr>
          <w:p w14:paraId="4717A29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74C779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67" w:type="dxa"/>
            <w:vAlign w:val="center"/>
          </w:tcPr>
          <w:p w14:paraId="14EC11F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560" w:type="dxa"/>
            <w:vAlign w:val="center"/>
          </w:tcPr>
          <w:p w14:paraId="0B8B355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普查登记蚊孳生地</w:t>
            </w:r>
          </w:p>
        </w:tc>
        <w:tc>
          <w:tcPr>
            <w:tcW w:w="1044" w:type="dxa"/>
            <w:vAlign w:val="center"/>
          </w:tcPr>
          <w:p w14:paraId="7EE64DD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1203" w:type="dxa"/>
            <w:vAlign w:val="center"/>
          </w:tcPr>
          <w:p w14:paraId="492E13B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1199" w:type="dxa"/>
            <w:vAlign w:val="center"/>
          </w:tcPr>
          <w:p w14:paraId="233F088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4" w:type="dxa"/>
            <w:vAlign w:val="center"/>
          </w:tcPr>
          <w:p w14:paraId="33D9DE6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93DABB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67" w:type="dxa"/>
            <w:vAlign w:val="center"/>
          </w:tcPr>
          <w:p w14:paraId="42B3BE3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560" w:type="dxa"/>
            <w:vAlign w:val="center"/>
          </w:tcPr>
          <w:p w14:paraId="29AFC31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蚊密度监测</w:t>
            </w:r>
          </w:p>
        </w:tc>
        <w:tc>
          <w:tcPr>
            <w:tcW w:w="1044" w:type="dxa"/>
            <w:vAlign w:val="center"/>
          </w:tcPr>
          <w:p w14:paraId="2258CFF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12</w:t>
            </w:r>
          </w:p>
        </w:tc>
        <w:tc>
          <w:tcPr>
            <w:tcW w:w="1203" w:type="dxa"/>
            <w:vAlign w:val="center"/>
          </w:tcPr>
          <w:p w14:paraId="4C1FE065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1199" w:type="dxa"/>
            <w:vAlign w:val="center"/>
          </w:tcPr>
          <w:p w14:paraId="60DFA85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4" w:type="dxa"/>
            <w:vAlign w:val="center"/>
          </w:tcPr>
          <w:p w14:paraId="0C897EF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413B7DA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67" w:type="dxa"/>
            <w:vAlign w:val="center"/>
          </w:tcPr>
          <w:p w14:paraId="54BD081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560" w:type="dxa"/>
            <w:vAlign w:val="center"/>
          </w:tcPr>
          <w:p w14:paraId="2E6D3CA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下水道热烟雾剂处理</w:t>
            </w:r>
          </w:p>
        </w:tc>
        <w:tc>
          <w:tcPr>
            <w:tcW w:w="1044" w:type="dxa"/>
            <w:vAlign w:val="center"/>
          </w:tcPr>
          <w:p w14:paraId="32EB433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24</w:t>
            </w:r>
          </w:p>
        </w:tc>
        <w:tc>
          <w:tcPr>
            <w:tcW w:w="1203" w:type="dxa"/>
            <w:vAlign w:val="center"/>
          </w:tcPr>
          <w:p w14:paraId="2D379D2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1199" w:type="dxa"/>
            <w:vAlign w:val="center"/>
          </w:tcPr>
          <w:p w14:paraId="3198A22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</w:p>
        </w:tc>
        <w:tc>
          <w:tcPr>
            <w:tcW w:w="1724" w:type="dxa"/>
            <w:vAlign w:val="center"/>
          </w:tcPr>
          <w:p w14:paraId="28374EF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1DE5A1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67" w:type="dxa"/>
            <w:vAlign w:val="center"/>
          </w:tcPr>
          <w:p w14:paraId="5D7BD5E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560" w:type="dxa"/>
            <w:vAlign w:val="center"/>
          </w:tcPr>
          <w:p w14:paraId="4A9CCF1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蟑螂屋设置</w:t>
            </w:r>
          </w:p>
        </w:tc>
        <w:tc>
          <w:tcPr>
            <w:tcW w:w="1044" w:type="dxa"/>
            <w:vAlign w:val="center"/>
          </w:tcPr>
          <w:p w14:paraId="3BCC242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38000</w:t>
            </w:r>
          </w:p>
        </w:tc>
        <w:tc>
          <w:tcPr>
            <w:tcW w:w="1203" w:type="dxa"/>
            <w:vAlign w:val="center"/>
          </w:tcPr>
          <w:p w14:paraId="3628A7B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个</w:t>
            </w:r>
          </w:p>
        </w:tc>
        <w:tc>
          <w:tcPr>
            <w:tcW w:w="1199" w:type="dxa"/>
            <w:vAlign w:val="center"/>
          </w:tcPr>
          <w:p w14:paraId="60839B9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4" w:type="dxa"/>
            <w:vAlign w:val="center"/>
          </w:tcPr>
          <w:p w14:paraId="4E9569B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77E77E9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67" w:type="dxa"/>
            <w:vAlign w:val="center"/>
          </w:tcPr>
          <w:p w14:paraId="191A774B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560" w:type="dxa"/>
            <w:vAlign w:val="center"/>
          </w:tcPr>
          <w:p w14:paraId="47A292A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杀蟑胶饵药物投放</w:t>
            </w:r>
          </w:p>
        </w:tc>
        <w:tc>
          <w:tcPr>
            <w:tcW w:w="1044" w:type="dxa"/>
            <w:vAlign w:val="center"/>
          </w:tcPr>
          <w:p w14:paraId="2E32DD0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1203" w:type="dxa"/>
            <w:vAlign w:val="center"/>
          </w:tcPr>
          <w:p w14:paraId="5D97E72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1199" w:type="dxa"/>
            <w:vAlign w:val="center"/>
          </w:tcPr>
          <w:p w14:paraId="4B0695D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4" w:type="dxa"/>
            <w:vAlign w:val="center"/>
          </w:tcPr>
          <w:p w14:paraId="22BCD2C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2D0FE9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67" w:type="dxa"/>
            <w:vAlign w:val="center"/>
          </w:tcPr>
          <w:p w14:paraId="008878B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560" w:type="dxa"/>
            <w:vAlign w:val="center"/>
          </w:tcPr>
          <w:p w14:paraId="5BF0A9C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蟑螂密度监测</w:t>
            </w:r>
          </w:p>
        </w:tc>
        <w:tc>
          <w:tcPr>
            <w:tcW w:w="1044" w:type="dxa"/>
            <w:vAlign w:val="center"/>
          </w:tcPr>
          <w:p w14:paraId="45E93C8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12</w:t>
            </w:r>
          </w:p>
        </w:tc>
        <w:tc>
          <w:tcPr>
            <w:tcW w:w="1203" w:type="dxa"/>
            <w:vAlign w:val="center"/>
          </w:tcPr>
          <w:p w14:paraId="5EAE536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次</w:t>
            </w:r>
          </w:p>
        </w:tc>
        <w:tc>
          <w:tcPr>
            <w:tcW w:w="1199" w:type="dxa"/>
            <w:vAlign w:val="center"/>
          </w:tcPr>
          <w:p w14:paraId="6CDC85E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4" w:type="dxa"/>
            <w:vAlign w:val="center"/>
          </w:tcPr>
          <w:p w14:paraId="3CF93CB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322397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67" w:type="dxa"/>
            <w:vAlign w:val="center"/>
          </w:tcPr>
          <w:p w14:paraId="64BE35E2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560" w:type="dxa"/>
            <w:vAlign w:val="center"/>
          </w:tcPr>
          <w:p w14:paraId="462985F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白蚁探测</w:t>
            </w:r>
          </w:p>
        </w:tc>
        <w:tc>
          <w:tcPr>
            <w:tcW w:w="1044" w:type="dxa"/>
            <w:vAlign w:val="center"/>
          </w:tcPr>
          <w:p w14:paraId="7BC9C25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  <w:t>1</w:t>
            </w:r>
          </w:p>
        </w:tc>
        <w:tc>
          <w:tcPr>
            <w:tcW w:w="1203" w:type="dxa"/>
            <w:vAlign w:val="center"/>
          </w:tcPr>
          <w:p w14:paraId="522103B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kern w:val="2"/>
                <w:sz w:val="24"/>
                <w:szCs w:val="24"/>
                <w:vertAlign w:val="baseli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年次</w:t>
            </w:r>
          </w:p>
        </w:tc>
        <w:tc>
          <w:tcPr>
            <w:tcW w:w="1199" w:type="dxa"/>
            <w:vAlign w:val="center"/>
          </w:tcPr>
          <w:p w14:paraId="1BFB5936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4" w:type="dxa"/>
            <w:vAlign w:val="center"/>
          </w:tcPr>
          <w:p w14:paraId="4F81A7B9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B6E54C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67" w:type="dxa"/>
            <w:vAlign w:val="center"/>
          </w:tcPr>
          <w:p w14:paraId="32CE4830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560" w:type="dxa"/>
            <w:vAlign w:val="center"/>
          </w:tcPr>
          <w:p w14:paraId="79C1A2E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粉剂鸩杀</w:t>
            </w:r>
          </w:p>
        </w:tc>
        <w:tc>
          <w:tcPr>
            <w:tcW w:w="1044" w:type="dxa"/>
            <w:vAlign w:val="center"/>
          </w:tcPr>
          <w:p w14:paraId="7795130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03" w:type="dxa"/>
            <w:vAlign w:val="center"/>
          </w:tcPr>
          <w:p w14:paraId="20813F6C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项</w:t>
            </w:r>
          </w:p>
        </w:tc>
        <w:tc>
          <w:tcPr>
            <w:tcW w:w="1199" w:type="dxa"/>
            <w:vAlign w:val="center"/>
          </w:tcPr>
          <w:p w14:paraId="0752CB43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4" w:type="dxa"/>
            <w:vAlign w:val="center"/>
          </w:tcPr>
          <w:p w14:paraId="08F9BD1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501412F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  <w:jc w:val="center"/>
        </w:trPr>
        <w:tc>
          <w:tcPr>
            <w:tcW w:w="767" w:type="dxa"/>
            <w:vAlign w:val="center"/>
          </w:tcPr>
          <w:p w14:paraId="1FE57A7A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560" w:type="dxa"/>
            <w:vAlign w:val="center"/>
          </w:tcPr>
          <w:p w14:paraId="3350DFED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top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无条件配合院方服务</w:t>
            </w:r>
          </w:p>
        </w:tc>
        <w:tc>
          <w:tcPr>
            <w:tcW w:w="1044" w:type="dxa"/>
            <w:vAlign w:val="center"/>
          </w:tcPr>
          <w:p w14:paraId="336D7DE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default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cs="宋体"/>
                <w:sz w:val="24"/>
                <w:szCs w:val="24"/>
                <w:vertAlign w:val="baseline"/>
                <w:lang w:val="en-US" w:eastAsia="zh-CN"/>
              </w:rPr>
              <w:t>1</w:t>
            </w:r>
          </w:p>
        </w:tc>
        <w:tc>
          <w:tcPr>
            <w:tcW w:w="1203" w:type="dxa"/>
            <w:vAlign w:val="center"/>
          </w:tcPr>
          <w:p w14:paraId="31D9C107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年项</w:t>
            </w:r>
          </w:p>
        </w:tc>
        <w:tc>
          <w:tcPr>
            <w:tcW w:w="1199" w:type="dxa"/>
            <w:vAlign w:val="center"/>
          </w:tcPr>
          <w:p w14:paraId="35B17128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  <w:tc>
          <w:tcPr>
            <w:tcW w:w="1724" w:type="dxa"/>
            <w:vAlign w:val="center"/>
          </w:tcPr>
          <w:p w14:paraId="71913DFE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sz w:val="24"/>
                <w:szCs w:val="24"/>
                <w:vertAlign w:val="baseline"/>
                <w:lang w:val="en-US" w:eastAsia="zh-CN"/>
              </w:rPr>
            </w:pPr>
          </w:p>
        </w:tc>
      </w:tr>
      <w:tr w14:paraId="67441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6" w:hRule="atLeast"/>
          <w:jc w:val="center"/>
        </w:trPr>
        <w:tc>
          <w:tcPr>
            <w:tcW w:w="6574" w:type="dxa"/>
            <w:gridSpan w:val="4"/>
            <w:vAlign w:val="center"/>
          </w:tcPr>
          <w:p w14:paraId="3DE59431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合计：</w:t>
            </w:r>
          </w:p>
        </w:tc>
        <w:tc>
          <w:tcPr>
            <w:tcW w:w="1199" w:type="dxa"/>
            <w:vAlign w:val="center"/>
          </w:tcPr>
          <w:p w14:paraId="2D382FD2">
            <w:pPr>
              <w:keepNext w:val="0"/>
              <w:keepLines w:val="0"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  <w:tc>
          <w:tcPr>
            <w:tcW w:w="1724" w:type="dxa"/>
            <w:vAlign w:val="center"/>
          </w:tcPr>
          <w:p w14:paraId="068DBE14">
            <w:pPr>
              <w:keepNext w:val="0"/>
              <w:keepLines w:val="0"/>
              <w:widowControl/>
              <w:suppressLineNumbers w:val="0"/>
              <w:spacing w:before="0" w:beforeAutospacing="0" w:after="0" w:afterAutospacing="0" w:line="360" w:lineRule="auto"/>
              <w:ind w:left="0" w:right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2"/>
                <w:sz w:val="24"/>
                <w:szCs w:val="24"/>
                <w:u w:val="none"/>
                <w:lang w:val="en-US" w:eastAsia="zh-CN" w:bidi="ar-SA"/>
              </w:rPr>
            </w:pPr>
          </w:p>
        </w:tc>
      </w:tr>
    </w:tbl>
    <w:p w14:paraId="18D32510">
      <w:pPr>
        <w:rPr>
          <w:rFonts w:hint="eastAsia" w:ascii="宋体" w:hAnsi="宋体" w:eastAsia="宋体" w:cs="Times New Roman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</w:pPr>
    </w:p>
    <w:p w14:paraId="48104271">
      <w:pPr>
        <w:rPr>
          <w:rFonts w:hint="eastAsia" w:ascii="宋体" w:hAnsi="宋体"/>
          <w:b/>
          <w:bCs/>
          <w:color w:val="auto"/>
          <w:sz w:val="28"/>
          <w:szCs w:val="28"/>
          <w:highlight w:val="none"/>
        </w:rPr>
      </w:pPr>
      <w:r>
        <w:rPr>
          <w:rFonts w:hint="eastAsia" w:ascii="宋体" w:hAnsi="宋体" w:eastAsia="宋体" w:cs="Times New Roman"/>
          <w:b/>
          <w:bCs/>
          <w:color w:val="auto"/>
          <w:kern w:val="2"/>
          <w:sz w:val="28"/>
          <w:szCs w:val="28"/>
          <w:highlight w:val="none"/>
          <w:lang w:val="en-US" w:eastAsia="zh-CN" w:bidi="ar-SA"/>
        </w:rPr>
        <w:t>三、</w:t>
      </w:r>
      <w:r>
        <w:rPr>
          <w:rFonts w:hint="eastAsia" w:ascii="宋体" w:hAnsi="宋体"/>
          <w:b/>
          <w:bCs/>
          <w:color w:val="auto"/>
          <w:sz w:val="28"/>
          <w:szCs w:val="28"/>
          <w:highlight w:val="none"/>
        </w:rPr>
        <w:t>商务要求</w:t>
      </w:r>
    </w:p>
    <w:p w14:paraId="0BF170A3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0" w:firstLineChars="0"/>
        <w:textAlignment w:val="auto"/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</w:pP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（一）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合同履行期限</w:t>
      </w:r>
      <w:r>
        <w:rPr>
          <w:rFonts w:hint="eastAsia" w:ascii="宋体" w:hAnsi="宋体" w:eastAsia="宋体" w:cs="宋体"/>
          <w:b/>
          <w:bCs/>
          <w:color w:val="auto"/>
          <w:sz w:val="24"/>
          <w:szCs w:val="24"/>
          <w:highlight w:val="none"/>
        </w:rPr>
        <w:t>：</w:t>
      </w:r>
      <w:r>
        <w:rPr>
          <w:rFonts w:hint="eastAsia" w:ascii="宋体" w:hAnsi="宋体" w:eastAsia="宋体" w:cs="宋体"/>
          <w:b/>
          <w:bCs/>
          <w:sz w:val="24"/>
          <w:szCs w:val="24"/>
        </w:rPr>
        <w:t>合同生效之日起</w:t>
      </w:r>
      <w:r>
        <w:rPr>
          <w:rFonts w:hint="eastAsia" w:ascii="宋体" w:hAnsi="宋体" w:cs="宋体"/>
          <w:b/>
          <w:bCs/>
          <w:color w:val="FF0000"/>
          <w:sz w:val="24"/>
          <w:szCs w:val="24"/>
          <w:lang w:val="en-US" w:eastAsia="zh-CN"/>
        </w:rPr>
        <w:t>2</w:t>
      </w:r>
      <w:r>
        <w:rPr>
          <w:rFonts w:hint="eastAsia" w:ascii="宋体" w:hAnsi="宋体" w:eastAsia="宋体" w:cs="宋体"/>
          <w:b/>
          <w:bCs/>
          <w:color w:val="FF0000"/>
          <w:sz w:val="24"/>
          <w:szCs w:val="24"/>
        </w:rPr>
        <w:t>年</w:t>
      </w:r>
      <w:r>
        <w:rPr>
          <w:rFonts w:hint="eastAsia" w:ascii="宋体" w:hAnsi="宋体" w:eastAsia="宋体" w:cs="宋体"/>
          <w:b/>
          <w:bCs/>
          <w:sz w:val="24"/>
          <w:szCs w:val="24"/>
          <w:lang w:eastAsia="zh-CN"/>
        </w:rPr>
        <w:t>。</w:t>
      </w:r>
    </w:p>
    <w:p w14:paraId="045FD72F">
      <w:pPr>
        <w:pStyle w:val="9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napToGrid w:val="0"/>
        <w:spacing w:line="360" w:lineRule="auto"/>
        <w:ind w:firstLine="0" w:firstLineChars="0"/>
        <w:textAlignment w:val="auto"/>
        <w:rPr>
          <w:rFonts w:hint="eastAsia" w:ascii="宋体" w:hAnsi="宋体"/>
          <w:color w:val="auto"/>
          <w:sz w:val="24"/>
          <w:highlight w:val="none"/>
        </w:rPr>
      </w:pPr>
      <w:r>
        <w:rPr>
          <w:rFonts w:hint="eastAsia" w:ascii="宋体" w:hAnsi="宋体"/>
          <w:b/>
          <w:bCs/>
          <w:color w:val="auto"/>
          <w:sz w:val="24"/>
          <w:highlight w:val="none"/>
        </w:rPr>
        <w:t>（二）服务地点</w:t>
      </w:r>
      <w:r>
        <w:rPr>
          <w:rFonts w:hint="eastAsia" w:ascii="宋体" w:hAnsi="宋体"/>
          <w:color w:val="auto"/>
          <w:sz w:val="24"/>
          <w:highlight w:val="none"/>
        </w:rPr>
        <w:t>：</w:t>
      </w:r>
      <w:r>
        <w:rPr>
          <w:rFonts w:hint="eastAsia" w:ascii="宋体" w:hAnsi="宋体" w:cs="Times New Roman"/>
          <w:b/>
          <w:color w:val="auto"/>
          <w:sz w:val="24"/>
          <w:highlight w:val="none"/>
        </w:rPr>
        <w:t>高州市人民医院指定地点</w:t>
      </w:r>
    </w:p>
    <w:p w14:paraId="26E1ECB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/>
          <w:b/>
          <w:color w:val="auto"/>
          <w:sz w:val="24"/>
          <w:highlight w:val="none"/>
          <w:lang w:eastAsia="zh-CN"/>
        </w:rPr>
      </w:pPr>
      <w:r>
        <w:rPr>
          <w:rFonts w:hint="eastAsia" w:ascii="宋体" w:hAnsi="宋体"/>
          <w:b/>
          <w:bCs/>
          <w:color w:val="auto"/>
          <w:sz w:val="24"/>
          <w:highlight w:val="none"/>
        </w:rPr>
        <w:t>（三）</w:t>
      </w:r>
      <w:r>
        <w:rPr>
          <w:rFonts w:hint="eastAsia" w:ascii="宋体" w:hAnsi="宋体"/>
          <w:b/>
          <w:color w:val="auto"/>
          <w:sz w:val="24"/>
          <w:highlight w:val="none"/>
        </w:rPr>
        <w:t>付款方式及结算</w:t>
      </w:r>
      <w:r>
        <w:rPr>
          <w:rFonts w:hint="eastAsia" w:ascii="宋体" w:hAnsi="宋体"/>
          <w:b/>
          <w:color w:val="auto"/>
          <w:sz w:val="24"/>
          <w:highlight w:val="none"/>
          <w:lang w:eastAsia="zh-CN"/>
        </w:rPr>
        <w:t>：</w:t>
      </w:r>
    </w:p>
    <w:p w14:paraId="1FAF9E0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default" w:ascii="宋体" w:hAnsi="宋体"/>
          <w:b w:val="0"/>
          <w:bCs/>
          <w:color w:val="auto"/>
          <w:sz w:val="24"/>
          <w:highlight w:val="none"/>
          <w:lang w:val="en-US" w:eastAsia="zh-CN"/>
        </w:rPr>
      </w:pPr>
      <w:r>
        <w:rPr>
          <w:rFonts w:hint="eastAsia" w:ascii="宋体" w:hAnsi="宋体"/>
          <w:b w:val="0"/>
          <w:bCs/>
          <w:color w:val="auto"/>
          <w:sz w:val="24"/>
          <w:highlight w:val="none"/>
          <w:lang w:val="en-US" w:eastAsia="zh-CN"/>
        </w:rPr>
        <w:t>1.付款方式：</w:t>
      </w:r>
    </w:p>
    <w:p w14:paraId="5E3897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left="0" w:leftChars="0" w:firstLine="480" w:firstLineChars="200"/>
        <w:textAlignment w:val="auto"/>
        <w:rPr>
          <w:rFonts w:hint="eastAsia" w:ascii="宋体" w:hAnsi="宋体" w:eastAsia="宋体" w:cs="宋体"/>
          <w:color w:val="auto"/>
          <w:sz w:val="24"/>
          <w:highlight w:val="yellow"/>
          <w:lang w:val="en-US" w:eastAsia="zh-CN"/>
        </w:rPr>
      </w:pPr>
      <w:bookmarkStart w:id="2" w:name="OLE_LINK6"/>
      <w:r>
        <w:rPr>
          <w:rFonts w:hint="eastAsia" w:ascii="宋体" w:hAnsi="宋体" w:eastAsia="宋体" w:cs="宋体"/>
          <w:color w:val="auto"/>
          <w:sz w:val="24"/>
          <w:highlight w:val="yellow"/>
          <w:lang w:val="en-US" w:eastAsia="zh-CN"/>
        </w:rPr>
        <w:t>合同签订之后，服务费分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2</w:t>
      </w:r>
      <w:r>
        <w:rPr>
          <w:rFonts w:hint="eastAsia" w:ascii="宋体" w:hAnsi="宋体" w:eastAsia="宋体" w:cs="宋体"/>
          <w:color w:val="auto"/>
          <w:sz w:val="24"/>
          <w:highlight w:val="yellow"/>
          <w:lang w:val="en-US" w:eastAsia="zh-CN"/>
        </w:rPr>
        <w:t>期进行支付，即每六个月支付一次，每次支付合同价的</w:t>
      </w:r>
      <w:r>
        <w:rPr>
          <w:rFonts w:hint="eastAsia" w:ascii="宋体" w:hAnsi="宋体" w:cs="宋体"/>
          <w:color w:val="auto"/>
          <w:sz w:val="24"/>
          <w:highlight w:val="yellow"/>
          <w:lang w:val="en-US" w:eastAsia="zh-CN"/>
        </w:rPr>
        <w:t>50</w:t>
      </w:r>
      <w:r>
        <w:rPr>
          <w:rFonts w:hint="eastAsia" w:ascii="宋体" w:hAnsi="宋体" w:eastAsia="宋体" w:cs="宋体"/>
          <w:color w:val="auto"/>
          <w:sz w:val="24"/>
          <w:highlight w:val="yellow"/>
          <w:lang w:val="en-US" w:eastAsia="zh-CN"/>
        </w:rPr>
        <w:t>%。满足合同约定支付条件后，在每期支付前，采购人在收到成交供应商开具的有效发票后10个工作日内进行支付。</w:t>
      </w:r>
    </w:p>
    <w:bookmarkEnd w:id="2"/>
    <w:p w14:paraId="1136196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/>
          <w:color w:val="auto"/>
          <w:sz w:val="24"/>
          <w:highlight w:val="none"/>
          <w:lang w:eastAsia="zh-CN"/>
        </w:rPr>
      </w:pPr>
      <w:r>
        <w:rPr>
          <w:rFonts w:hint="eastAsia" w:ascii="宋体" w:hAnsi="宋体"/>
          <w:b w:val="0"/>
          <w:bCs/>
          <w:color w:val="auto"/>
          <w:sz w:val="24"/>
          <w:highlight w:val="none"/>
          <w:lang w:eastAsia="zh-CN"/>
        </w:rPr>
        <w:t xml:space="preserve">2.成交供应商凭以下有效文件与采购人结算： </w:t>
      </w:r>
    </w:p>
    <w:p w14:paraId="55661E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/>
          <w:color w:val="auto"/>
          <w:sz w:val="24"/>
          <w:highlight w:val="none"/>
          <w:lang w:eastAsia="zh-CN"/>
        </w:rPr>
      </w:pPr>
      <w:r>
        <w:rPr>
          <w:rFonts w:hint="eastAsia" w:ascii="宋体" w:hAnsi="宋体"/>
          <w:b w:val="0"/>
          <w:bCs/>
          <w:color w:val="auto"/>
          <w:sz w:val="24"/>
          <w:highlight w:val="none"/>
          <w:lang w:eastAsia="zh-CN"/>
        </w:rPr>
        <w:t xml:space="preserve">（1）合同； </w:t>
      </w:r>
    </w:p>
    <w:p w14:paraId="127400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/>
          <w:color w:val="auto"/>
          <w:sz w:val="24"/>
          <w:highlight w:val="none"/>
          <w:lang w:eastAsia="zh-CN"/>
        </w:rPr>
      </w:pPr>
      <w:r>
        <w:rPr>
          <w:rFonts w:hint="eastAsia" w:ascii="宋体" w:hAnsi="宋体"/>
          <w:b w:val="0"/>
          <w:bCs/>
          <w:color w:val="auto"/>
          <w:sz w:val="24"/>
          <w:highlight w:val="none"/>
          <w:lang w:eastAsia="zh-CN"/>
        </w:rPr>
        <w:t xml:space="preserve">（2）成交供应商开具的正式发票； </w:t>
      </w:r>
    </w:p>
    <w:p w14:paraId="297656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/>
          <w:color w:val="auto"/>
          <w:sz w:val="24"/>
          <w:highlight w:val="none"/>
          <w:lang w:eastAsia="zh-CN"/>
        </w:rPr>
      </w:pPr>
      <w:r>
        <w:rPr>
          <w:rFonts w:hint="eastAsia" w:ascii="宋体" w:hAnsi="宋体"/>
          <w:b w:val="0"/>
          <w:bCs/>
          <w:color w:val="auto"/>
          <w:sz w:val="24"/>
          <w:highlight w:val="none"/>
          <w:lang w:eastAsia="zh-CN"/>
        </w:rPr>
        <w:t xml:space="preserve">（3）中标（成交）通知书； </w:t>
      </w:r>
    </w:p>
    <w:p w14:paraId="0564AE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ind w:firstLine="480" w:firstLineChars="200"/>
        <w:textAlignment w:val="auto"/>
        <w:rPr>
          <w:rFonts w:hint="eastAsia" w:ascii="宋体" w:hAnsi="宋体"/>
          <w:b w:val="0"/>
          <w:bCs/>
          <w:color w:val="auto"/>
          <w:sz w:val="24"/>
          <w:highlight w:val="none"/>
          <w:lang w:eastAsia="zh-CN"/>
        </w:rPr>
      </w:pPr>
      <w:r>
        <w:rPr>
          <w:rFonts w:hint="eastAsia" w:ascii="宋体" w:hAnsi="宋体"/>
          <w:b w:val="0"/>
          <w:bCs/>
          <w:color w:val="auto"/>
          <w:sz w:val="24"/>
          <w:highlight w:val="none"/>
          <w:lang w:eastAsia="zh-CN"/>
        </w:rPr>
        <w:t xml:space="preserve">（4）采购人要求的其他相关结算资料。 </w:t>
      </w:r>
    </w:p>
    <w:p w14:paraId="6488DC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/>
          <w:b/>
          <w:bCs/>
          <w:color w:val="auto"/>
          <w:sz w:val="24"/>
          <w:highlight w:val="none"/>
          <w:lang w:eastAsia="zh-CN"/>
        </w:rPr>
      </w:pPr>
      <w:r>
        <w:rPr>
          <w:rFonts w:hint="eastAsia" w:ascii="宋体" w:hAnsi="宋体"/>
          <w:b/>
          <w:bCs/>
          <w:color w:val="auto"/>
          <w:sz w:val="24"/>
          <w:highlight w:val="none"/>
          <w:lang w:eastAsia="zh-CN"/>
        </w:rPr>
        <w:t>（四）履约保证金</w:t>
      </w:r>
    </w:p>
    <w:p w14:paraId="57D72C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60" w:lineRule="auto"/>
        <w:textAlignment w:val="auto"/>
        <w:rPr>
          <w:rFonts w:hint="eastAsia" w:ascii="宋体" w:hAnsi="宋体"/>
          <w:b/>
          <w:bCs w:val="0"/>
          <w:color w:val="auto"/>
          <w:sz w:val="24"/>
          <w:highlight w:val="none"/>
          <w:lang w:eastAsia="zh-CN"/>
        </w:rPr>
      </w:pPr>
      <w:r>
        <w:rPr>
          <w:rFonts w:hint="eastAsia" w:ascii="宋体" w:hAnsi="宋体"/>
          <w:b w:val="0"/>
          <w:bCs/>
          <w:color w:val="auto"/>
          <w:sz w:val="24"/>
          <w:highlight w:val="none"/>
          <w:lang w:eastAsia="zh-CN"/>
        </w:rPr>
        <w:t>无</w:t>
      </w:r>
    </w:p>
    <w:p w14:paraId="0DCC14FA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80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长城仿宋">
    <w:altName w:val="微软雅黑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94C7F8C"/>
    <w:rsid w:val="194C7F8C"/>
    <w:rsid w:val="751E50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4">
    <w:name w:val="heading 2"/>
    <w:basedOn w:val="1"/>
    <w:next w:val="1"/>
    <w:qFormat/>
    <w:uiPriority w:val="0"/>
    <w:pPr>
      <w:keepNext/>
      <w:keepLines/>
      <w:spacing w:before="260" w:after="260" w:line="415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7">
    <w:name w:val="Default Paragraph Font"/>
    <w:semiHidden/>
    <w:qFormat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Plain Text"/>
    <w:basedOn w:val="1"/>
    <w:next w:val="3"/>
    <w:qFormat/>
    <w:uiPriority w:val="0"/>
    <w:rPr>
      <w:rFonts w:ascii="宋体" w:hAnsi="Courier New"/>
      <w:szCs w:val="21"/>
    </w:rPr>
  </w:style>
  <w:style w:type="paragraph" w:styleId="3">
    <w:name w:val="Normal Indent"/>
    <w:basedOn w:val="1"/>
    <w:qFormat/>
    <w:uiPriority w:val="0"/>
    <w:pPr>
      <w:ind w:firstLine="420"/>
    </w:pPr>
  </w:style>
  <w:style w:type="table" w:styleId="6">
    <w:name w:val="Table Grid"/>
    <w:basedOn w:val="5"/>
    <w:qFormat/>
    <w:uiPriority w:val="0"/>
    <w:pPr>
      <w:widowControl w:val="0"/>
      <w:jc w:val="both"/>
    </w:pPr>
    <w:rPr>
      <w:lang w:val="en-US" w:eastAsia="zh-CN" w:bidi="ar-SA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8">
    <w:name w:val="文档正文"/>
    <w:basedOn w:val="1"/>
    <w:qFormat/>
    <w:uiPriority w:val="99"/>
    <w:pPr>
      <w:adjustRightInd w:val="0"/>
      <w:spacing w:line="480" w:lineRule="atLeast"/>
      <w:ind w:firstLine="567" w:firstLineChars="200"/>
      <w:textAlignment w:val="baseline"/>
    </w:pPr>
    <w:rPr>
      <w:rFonts w:ascii="长城仿宋" w:hAnsi="Calibri"/>
      <w:kern w:val="0"/>
      <w:szCs w:val="20"/>
    </w:rPr>
  </w:style>
  <w:style w:type="paragraph" w:styleId="9">
    <w:name w:val="List Paragraph"/>
    <w:basedOn w:val="1"/>
    <w:qFormat/>
    <w:uiPriority w:val="99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6</Pages>
  <Words>2593</Words>
  <Characters>2906</Characters>
  <Lines>0</Lines>
  <Paragraphs>0</Paragraphs>
  <TotalTime>2</TotalTime>
  <ScaleCrop>false</ScaleCrop>
  <LinksUpToDate>false</LinksUpToDate>
  <CharactersWithSpaces>2917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2026-04-20T09:18:00Z</dcterms:created>
  <dc:creator>吾心首行</dc:creator>
  <cp:lastModifiedBy>陈伟</cp:lastModifiedBy>
  <dcterms:modified xsi:type="dcterms:W3CDTF">2026-04-21T02:28:30Z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2052-12.1.0.25865</vt:lpwstr>
  </property>
  <property fmtid="{D5CDD505-2E9C-101B-9397-08002B2CF9AE}" pid="3" name="ICV">
    <vt:lpwstr>3B6168040932487C9196DD3FD51C180A_13</vt:lpwstr>
  </property>
  <property fmtid="{D5CDD505-2E9C-101B-9397-08002B2CF9AE}" pid="4" name="KSOTemplateDocerSaveRecord">
    <vt:lpwstr>eyJoZGlkIjoiYTk0MTExY2IxYTU5NGRmMTZjMzRiYWJmY2YyNDc1NDMiLCJ1c2VySWQiOiI3NzMwODA3MTYifQ==</vt:lpwstr>
  </property>
</Properties>
</file>